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5433" w14:textId="353C6711" w:rsidR="00A33FD6" w:rsidRPr="00D8220A" w:rsidRDefault="00A33FD6" w:rsidP="00DD12D1">
      <w:pPr>
        <w:pStyle w:val="Titolo1"/>
        <w:spacing w:after="240"/>
        <w:ind w:left="0" w:firstLine="851"/>
        <w:jc w:val="center"/>
      </w:pPr>
      <w:r w:rsidRPr="00D8220A">
        <w:t>Quadro di sintesi. L’economia regionale nel 201</w:t>
      </w:r>
      <w:r w:rsidR="00256848">
        <w:t>9</w:t>
      </w:r>
    </w:p>
    <w:p w14:paraId="2E711D7E" w14:textId="77777777" w:rsidR="005F5B76" w:rsidRDefault="00E00AE9" w:rsidP="00DD12D1">
      <w:r>
        <w:t>Il rallentamento dell’economia mondiale</w:t>
      </w:r>
      <w:r w:rsidR="00D2226A">
        <w:t xml:space="preserve"> e, in particolare, del commercio estero a livello globale, sta penalizzando in misura più sensibile i Paesi a maggior vocazione export, Germania e Italia su tutt</w:t>
      </w:r>
      <w:r w:rsidR="00794EAB">
        <w:t>i</w:t>
      </w:r>
      <w:r w:rsidR="00D2226A">
        <w:t xml:space="preserve">. E, all’interno del nostro Paese, sono le regioni più attive sui mercati esteri a essere maggiormente esposte alle incertezze e alle fragilità che caratterizzano lo scenario internazionale. </w:t>
      </w:r>
    </w:p>
    <w:p w14:paraId="44853301" w14:textId="77777777" w:rsidR="00C566E5" w:rsidRDefault="00D2226A" w:rsidP="00DD12D1">
      <w:r>
        <w:t>L’</w:t>
      </w:r>
      <w:r w:rsidR="00794EAB">
        <w:t>Emilia-Romagna -</w:t>
      </w:r>
      <w:r>
        <w:t xml:space="preserve"> </w:t>
      </w:r>
      <w:r w:rsidR="00794EAB">
        <w:t xml:space="preserve">seconda regione italiana per valore delle esportazioni e </w:t>
      </w:r>
      <w:r>
        <w:t xml:space="preserve">tra le prime regioni d’Europa per </w:t>
      </w:r>
      <w:r w:rsidR="00794EAB">
        <w:t>export per abitante – sembra corrispondere all’identikit della regione a forte risch</w:t>
      </w:r>
      <w:r w:rsidR="00C566E5">
        <w:t xml:space="preserve">io di “contagio internazionale”. A ciò si aggiunge l’ormai trentennale ritardo con cui viaggia il “treno Italia” rispetto </w:t>
      </w:r>
      <w:r w:rsidR="00145E25">
        <w:t>alle altre nazioni</w:t>
      </w:r>
      <w:r w:rsidR="00C566E5">
        <w:t xml:space="preserve">, croniche lacune strutturali e un’endemica debolezza della domanda interna </w:t>
      </w:r>
      <w:r w:rsidR="00145E25">
        <w:t>contribuiscono a posizionare</w:t>
      </w:r>
      <w:r w:rsidR="00C566E5">
        <w:t xml:space="preserve"> il nostro Paese agli ultimi posti </w:t>
      </w:r>
      <w:r w:rsidR="00145E25">
        <w:t>al mondo per crescita economica.</w:t>
      </w:r>
    </w:p>
    <w:p w14:paraId="45028B19" w14:textId="77777777" w:rsidR="00145E25" w:rsidRDefault="00145E25" w:rsidP="00DD12D1"/>
    <w:p w14:paraId="0D9F20D7" w14:textId="77777777" w:rsidR="00071EE8" w:rsidRDefault="00145E25" w:rsidP="00DD12D1">
      <w:r>
        <w:t>Eppure, nonostante questo scenario sfavorevole, i</w:t>
      </w:r>
      <w:r w:rsidR="00136FD2">
        <w:t xml:space="preserve">l 2019 </w:t>
      </w:r>
      <w:r w:rsidR="00F1216C">
        <w:t xml:space="preserve">per l’economia dell’Emilia-Romagna dovrebbe chiudersi positivamente ed essere archiviato come </w:t>
      </w:r>
      <w:r w:rsidR="00136FD2">
        <w:t>un altro anno di crescita per l’economia regionale</w:t>
      </w:r>
      <w:r w:rsidR="00A5785A">
        <w:rPr>
          <w:rStyle w:val="Rimandonotaapidipagina"/>
        </w:rPr>
        <w:footnoteReference w:id="1"/>
      </w:r>
      <w:r w:rsidR="00136FD2" w:rsidRPr="00766D52">
        <w:t>.</w:t>
      </w:r>
      <w:r w:rsidR="00136FD2">
        <w:t xml:space="preserve"> Crescita a ritmo non sostenuto, con alcuni </w:t>
      </w:r>
      <w:r w:rsidR="00F1216C">
        <w:t xml:space="preserve">diffusi </w:t>
      </w:r>
      <w:r w:rsidR="00136FD2">
        <w:t xml:space="preserve">segnali di rallentamento, tuttavia sufficiente per confermare l’Emilia-Romagna al vertice delle regioni italiane per incremento del PIL nel 2019 e anche per il 2020. </w:t>
      </w:r>
      <w:r w:rsidR="00F1216C">
        <w:t>Esattamente come era avvenuto nel 2018, ancora locomotiva dell’arrancante “treno Italia”.</w:t>
      </w:r>
    </w:p>
    <w:p w14:paraId="2CBB9B05" w14:textId="77777777" w:rsidR="00A5785A" w:rsidRDefault="00A5785A" w:rsidP="00136FD2"/>
    <w:p w14:paraId="3436CA29" w14:textId="77777777" w:rsidR="005F5B76" w:rsidRDefault="00A5785A" w:rsidP="00136FD2">
      <w:r>
        <w:t>I dati</w:t>
      </w:r>
      <w:r w:rsidR="00EF146D">
        <w:t xml:space="preserve"> di consuntivo già acquisiti,</w:t>
      </w:r>
      <w:r>
        <w:t xml:space="preserve"> ancora parziali e relativi ai primi nove mesi dell’an</w:t>
      </w:r>
      <w:r w:rsidR="00EF146D">
        <w:t xml:space="preserve">no, </w:t>
      </w:r>
      <w:r w:rsidR="00476175">
        <w:t>compongono</w:t>
      </w:r>
      <w:r w:rsidR="00EF146D">
        <w:t xml:space="preserve"> </w:t>
      </w:r>
      <w:r w:rsidR="00681071">
        <w:t xml:space="preserve">un’immagine della regione difficile da decifrare attraverso le chiavi di lettura che siamo soliti utilizzare. </w:t>
      </w:r>
    </w:p>
    <w:p w14:paraId="34F65B57" w14:textId="77777777" w:rsidR="005F5B76" w:rsidRDefault="00681071" w:rsidP="00136FD2">
      <w:r>
        <w:t>Le tradizionali classificazioni settoriali, geografiche o per classe dimensionale restituiscono una fotografia parziale e a volte d</w:t>
      </w:r>
      <w:r w:rsidR="008340FF">
        <w:t>istorta di quanto sta avvenendo.</w:t>
      </w:r>
      <w:r>
        <w:t xml:space="preserve"> </w:t>
      </w:r>
      <w:r w:rsidR="008340FF">
        <w:t xml:space="preserve">Al tempo stesso, il più delle volte mancano strumenti (dati) e filtri adeguati </w:t>
      </w:r>
      <w:proofErr w:type="gramStart"/>
      <w:r w:rsidR="008340FF">
        <w:t>per</w:t>
      </w:r>
      <w:proofErr w:type="gramEnd"/>
      <w:r w:rsidR="008340FF">
        <w:t xml:space="preserve"> scattare la fotografia in modo differente. </w:t>
      </w:r>
    </w:p>
    <w:p w14:paraId="6A1AE747" w14:textId="77777777" w:rsidR="005F5B76" w:rsidRDefault="00476175" w:rsidP="00136FD2">
      <w:r>
        <w:t xml:space="preserve">Ne è un esempio l’analisi delle </w:t>
      </w:r>
      <w:r w:rsidR="001623C7">
        <w:t>società</w:t>
      </w:r>
      <w:r>
        <w:t xml:space="preserve"> manifatturiere, il settore di appartenenza è sempre meno esplicativo, </w:t>
      </w:r>
      <w:r w:rsidR="00CB5C7F">
        <w:t xml:space="preserve">come evidenziato da un recente studio di Unioncamere Emilia-Romagna </w:t>
      </w:r>
      <w:r>
        <w:t xml:space="preserve">a marcare la differenza tra chi cresce e chi no è la capacità di competere sui mercati esteri, di innovare, di investire nel capitale umano. </w:t>
      </w:r>
      <w:r w:rsidR="006A3A7F">
        <w:t xml:space="preserve">La stessa voce “industria manifatturiera” sembra definire confini operativi ormai cancellati, sono sempre più numerose le aziende industriali che realizzano quote importanti del proprio valore aggiunto ibridando attività produttive con servizi caratteristici del terziario. </w:t>
      </w:r>
    </w:p>
    <w:p w14:paraId="2527845B" w14:textId="77777777" w:rsidR="00F1216C" w:rsidRDefault="00476175" w:rsidP="00136FD2">
      <w:r>
        <w:t>Tuttavia, i nostri criteri classificatori insistono su</w:t>
      </w:r>
      <w:r w:rsidR="001623C7">
        <w:t>l comparto in cui opera l’impresa, non su come svolge la propria attività. Se per alcune analisi è possibile tentare di costruire paradigmi di classificazione differenti, per altre</w:t>
      </w:r>
      <w:r w:rsidR="00EF5215">
        <w:t xml:space="preserve"> elaborazioni</w:t>
      </w:r>
      <w:r w:rsidR="001623C7">
        <w:t xml:space="preserve"> i dati a disposizione non lo consentono.</w:t>
      </w:r>
    </w:p>
    <w:p w14:paraId="780D70AB" w14:textId="77777777" w:rsidR="00EF5215" w:rsidRDefault="00EF5215" w:rsidP="00136FD2"/>
    <w:p w14:paraId="36A8599E" w14:textId="77777777" w:rsidR="00EF5215" w:rsidRDefault="001623C7" w:rsidP="00136FD2">
      <w:r>
        <w:t xml:space="preserve">Anche </w:t>
      </w:r>
      <w:r w:rsidR="006A3A7F">
        <w:t xml:space="preserve">il nostro </w:t>
      </w:r>
      <w:r>
        <w:t xml:space="preserve">rapporto sull’economia regionale sconta questo limite, </w:t>
      </w:r>
      <w:r w:rsidR="006A3A7F">
        <w:t xml:space="preserve">i numeri presenti e futuri sono </w:t>
      </w:r>
      <w:r w:rsidR="00A92339">
        <w:t>raccolti in capitoli settoriali,</w:t>
      </w:r>
      <w:r w:rsidR="00EF5215">
        <w:t xml:space="preserve"> le tabelle contengono valori medi che sempre meno riescono </w:t>
      </w:r>
      <w:r w:rsidR="00A21326">
        <w:t xml:space="preserve">ad </w:t>
      </w:r>
      <w:r w:rsidR="00EF5215">
        <w:t>essere sintesi efficace dell’andamento dell’aggregato che dovrebbero rappresentare. Una “crisi di rappresentanza” della statistica</w:t>
      </w:r>
      <w:r w:rsidR="00A21326">
        <w:t xml:space="preserve"> – e non solo della statistica -</w:t>
      </w:r>
      <w:r w:rsidR="00EF5215">
        <w:t xml:space="preserve"> che riflette </w:t>
      </w:r>
      <w:r w:rsidR="00A21326">
        <w:t>un’economia e una società che si stanno trasformando seguendo percorsi inediti e con velocità mai sperimentata in passato.</w:t>
      </w:r>
    </w:p>
    <w:p w14:paraId="7382C1DC" w14:textId="77777777" w:rsidR="00A21326" w:rsidRDefault="00A21326" w:rsidP="00136FD2"/>
    <w:p w14:paraId="7A540F5A" w14:textId="77777777" w:rsidR="00A21326" w:rsidRDefault="00A21326" w:rsidP="005F5B76">
      <w:r>
        <w:t>Un primo tuffo all’interno delle pagine e dei numeri del rapporto può aiutare a comprendere meglio questa “crisi di rappresentanza”</w:t>
      </w:r>
      <w:r w:rsidR="00CB5C7F">
        <w:t xml:space="preserve"> della statistica</w:t>
      </w:r>
      <w:r>
        <w:t xml:space="preserve">. </w:t>
      </w:r>
    </w:p>
    <w:p w14:paraId="05DDE869" w14:textId="77777777" w:rsidR="00A21326" w:rsidRDefault="004C2F1B" w:rsidP="005F5B76">
      <w:r>
        <w:t xml:space="preserve">Le indagini congiunturali settoriali, realizzate dal sistema delle Camere di commercio e </w:t>
      </w:r>
      <w:r w:rsidR="005F5B76">
        <w:t>relativ</w:t>
      </w:r>
      <w:r>
        <w:t>e</w:t>
      </w:r>
      <w:r w:rsidR="005F5B76">
        <w:t xml:space="preserve"> ai primi nove mesi dell’anno</w:t>
      </w:r>
      <w:r>
        <w:t>,</w:t>
      </w:r>
      <w:r w:rsidR="005F5B76">
        <w:t xml:space="preserve"> </w:t>
      </w:r>
      <w:r w:rsidR="0010766F">
        <w:t>alternano segnali di rallentamento ad altri più confortanti</w:t>
      </w:r>
      <w:r>
        <w:t>.</w:t>
      </w:r>
      <w:r w:rsidR="00A21326">
        <w:t xml:space="preserve"> </w:t>
      </w:r>
      <w:r w:rsidR="005F5B76">
        <w:t xml:space="preserve">In flessione la produzione dell’industria manifatturiera, con difficoltà crescenti per le aziende </w:t>
      </w:r>
      <w:r w:rsidR="00AD7CC0">
        <w:t xml:space="preserve">più piccole e quelle artigiane. </w:t>
      </w:r>
      <w:r w:rsidR="00B9714D">
        <w:t>Tuttavia, aumentano esportazioni e occupazione, come confermato anche dai dati Istat, a ulteriore testimonianza che l’andamento del comparto non può essere spiegato dal dato aggregato ma occorre guardare ai comportamenti delle singole imprese</w:t>
      </w:r>
      <w:r w:rsidR="00A21326">
        <w:t xml:space="preserve">. </w:t>
      </w:r>
    </w:p>
    <w:p w14:paraId="2D29A93C" w14:textId="77777777" w:rsidR="00861B6A" w:rsidRDefault="00CB5C7F" w:rsidP="005F5B76">
      <w:r>
        <w:t xml:space="preserve">La stessa chiave </w:t>
      </w:r>
      <w:r w:rsidR="00861B6A">
        <w:t>interpretativa</w:t>
      </w:r>
      <w:r>
        <w:t xml:space="preserve"> </w:t>
      </w:r>
      <w:r w:rsidR="00861B6A">
        <w:t xml:space="preserve">dovrebbe guidare nella lettura delle altre dinamiche settoriali. </w:t>
      </w:r>
      <w:r w:rsidR="004C2F1B">
        <w:t>Prosegue il calo del settore del commercio, a soffrire sono i piccoli esercizi commerciali mentre</w:t>
      </w:r>
      <w:r>
        <w:t xml:space="preserve"> tiene la grande distribuzione. </w:t>
      </w:r>
      <w:r w:rsidR="004C2F1B">
        <w:t>Cresce il settore delle costruzioni, l’agricoltura sembra presentare più ombre che luci, il turismo protrae la sua fase espansi</w:t>
      </w:r>
      <w:r w:rsidR="00861B6A">
        <w:t xml:space="preserve">va aumentando arrivi e presenze. </w:t>
      </w:r>
    </w:p>
    <w:p w14:paraId="324E3944" w14:textId="77777777" w:rsidR="004C2F1B" w:rsidRDefault="00CB5C7F" w:rsidP="005F5B76">
      <w:r>
        <w:t>Tendenze di fondo, numeri medi che</w:t>
      </w:r>
      <w:r w:rsidR="00861B6A">
        <w:t xml:space="preserve"> solo parzialmente riescono a misurare la crescita esponenziale del commercio elettronico, della rigenerazione urbana, delle nuove frontiere dell’agricoltura, dell’effetto Airbnb sul turismo</w:t>
      </w:r>
      <w:r w:rsidR="00301E6A">
        <w:t>, solo per fare alcuni esempi.</w:t>
      </w:r>
      <w:r w:rsidR="00861B6A">
        <w:t xml:space="preserve"> </w:t>
      </w:r>
    </w:p>
    <w:p w14:paraId="7DF7B0B4" w14:textId="77777777" w:rsidR="005F5B76" w:rsidRDefault="005F5B76" w:rsidP="005F5B76"/>
    <w:p w14:paraId="2242E2C7" w14:textId="77777777" w:rsidR="00884516" w:rsidRDefault="00861B6A" w:rsidP="00136FD2">
      <w:r>
        <w:lastRenderedPageBreak/>
        <w:t xml:space="preserve">Provo ad aggiungere un altro tassello a questa riflessione. </w:t>
      </w:r>
      <w:r w:rsidR="00B9714D">
        <w:t>U</w:t>
      </w:r>
      <w:r w:rsidR="005F5B76">
        <w:t>scendo dalla logica meramente settoriale, e</w:t>
      </w:r>
      <w:r w:rsidR="00A92339">
        <w:t xml:space="preserve">xport ed occupazione sono le prime voci narranti un’economia regionale in espansione. Nei primi nove mesi dell’anno le esportazioni sono cresciute </w:t>
      </w:r>
      <w:r w:rsidR="00AF1582">
        <w:t>del 4,8 per cento</w:t>
      </w:r>
      <w:r w:rsidR="00A92339">
        <w:t xml:space="preserve">, l’occupazione nello stesso arco temporale conta </w:t>
      </w:r>
      <w:r w:rsidR="00B7316F">
        <w:t>oltre 26mila</w:t>
      </w:r>
      <w:r w:rsidR="00A92339">
        <w:t xml:space="preserve"> lavoratori in più, la disoccupazione scende ulteriormente attestandosi poco sopra il 5 per cento. </w:t>
      </w:r>
    </w:p>
    <w:p w14:paraId="7B02A9A8" w14:textId="77777777" w:rsidR="00476175" w:rsidRDefault="003132B4" w:rsidP="00136FD2">
      <w:r>
        <w:t xml:space="preserve">Al contrario, si riduce il numero delle imprese, non perché sia in aumento il numero delle </w:t>
      </w:r>
      <w:r w:rsidR="007871DC">
        <w:t>aziende</w:t>
      </w:r>
      <w:r>
        <w:t xml:space="preserve"> che chiudono rispetto al passato, ma perché sono meno quelle che aprono. Si tratta di una dinamica in atto da tempo le cui ragioni sono da ricercarsi nel progressivo invecchiamento della popolazione regionale e, soprattutto, nel mercato del lavoro che, a differenza di altri territori, offre numerose opportunità ai giovani di trovare un’occupazione alle dipendenze e, conseguentemente, li allontana da percorsi volti all’autoimpiego.</w:t>
      </w:r>
    </w:p>
    <w:p w14:paraId="3033892B" w14:textId="77777777" w:rsidR="00861B6A" w:rsidRDefault="00861B6A" w:rsidP="00136FD2"/>
    <w:p w14:paraId="44220944" w14:textId="77777777" w:rsidR="00B7316F" w:rsidRDefault="007871DC" w:rsidP="00136FD2">
      <w:r>
        <w:t xml:space="preserve">Nuovi occupati e nuove imprese </w:t>
      </w:r>
      <w:r w:rsidR="00794996">
        <w:t xml:space="preserve">che </w:t>
      </w:r>
      <w:r>
        <w:t>andrebbero misurati non solo dal punto di vista quantitativo ma anche da quello qualitativo, sulle caratteristiche dei nuovi posti di lavoro e delle nuove iniziative imprenditoriali.</w:t>
      </w:r>
      <w:r w:rsidR="00794996">
        <w:t xml:space="preserve"> </w:t>
      </w:r>
      <w:r>
        <w:t xml:space="preserve">Numeri differenti raccontano storie diverse, </w:t>
      </w:r>
      <w:r w:rsidR="00F84B85">
        <w:t>molte</w:t>
      </w:r>
      <w:r>
        <w:t xml:space="preserve"> imprese cercano </w:t>
      </w:r>
      <w:r w:rsidR="00B7316F">
        <w:t xml:space="preserve">figure </w:t>
      </w:r>
      <w:r>
        <w:t xml:space="preserve">con una formazione scolastica elevata, </w:t>
      </w:r>
      <w:r w:rsidR="00F84B85">
        <w:t>inseguono profilli e</w:t>
      </w:r>
      <w:r>
        <w:t xml:space="preserve"> competenze </w:t>
      </w:r>
      <w:r w:rsidR="00F84B85">
        <w:t>che in molti casi non trovano, offrono posti di lavor</w:t>
      </w:r>
      <w:r w:rsidR="00794996">
        <w:t>o stabili. A</w:t>
      </w:r>
      <w:r w:rsidR="00F84B85">
        <w:t xml:space="preserve">llo stesso tempo altre aziende, altrettanto numerose, puntano su profili meno qualificati, ricorrono ampiamente a contratti </w:t>
      </w:r>
      <w:r w:rsidR="00884516">
        <w:t>a tempo parziale.</w:t>
      </w:r>
      <w:r w:rsidR="00B7316F">
        <w:t xml:space="preserve"> </w:t>
      </w:r>
      <w:r w:rsidR="00F84B85">
        <w:t xml:space="preserve">Tra le nuove imprese si trovano startup </w:t>
      </w:r>
      <w:r w:rsidR="00794996">
        <w:t xml:space="preserve">di successo </w:t>
      </w:r>
      <w:r w:rsidR="00F84B85">
        <w:t xml:space="preserve">impegnate sul fronte dell’innovazione e altre </w:t>
      </w:r>
      <w:r w:rsidR="00927ECE">
        <w:t xml:space="preserve">destinate a non compiere l’anno di vita. </w:t>
      </w:r>
    </w:p>
    <w:p w14:paraId="68CA5CF4" w14:textId="77777777" w:rsidR="00067E4A" w:rsidRDefault="00067E4A" w:rsidP="00136FD2"/>
    <w:p w14:paraId="365CE205" w14:textId="77777777" w:rsidR="00D5398D" w:rsidRDefault="00F84B85" w:rsidP="00136FD2">
      <w:r>
        <w:t>Ancora una volta non è il settore dove opera l’</w:t>
      </w:r>
      <w:r w:rsidR="00927ECE">
        <w:t>aziend</w:t>
      </w:r>
      <w:r>
        <w:t>a a fare da spartiacque, ma il come opera.</w:t>
      </w:r>
      <w:r w:rsidR="00927ECE">
        <w:t xml:space="preserve"> </w:t>
      </w:r>
    </w:p>
    <w:p w14:paraId="2457AA71" w14:textId="77777777" w:rsidR="00B7316F" w:rsidRDefault="00B7316F" w:rsidP="00136FD2"/>
    <w:p w14:paraId="5232759C" w14:textId="77777777" w:rsidR="00884516" w:rsidRDefault="00927ECE" w:rsidP="00136FD2">
      <w:r>
        <w:t>C’è un</w:t>
      </w:r>
      <w:r w:rsidR="00067E4A">
        <w:t xml:space="preserve"> ulteriore aspetto che va </w:t>
      </w:r>
      <w:r>
        <w:t>sottolineat</w:t>
      </w:r>
      <w:r w:rsidR="00067E4A">
        <w:t>o C</w:t>
      </w:r>
      <w:r>
        <w:t xml:space="preserve">irca un terzo dei profili richiesti dalle imprese riguarda </w:t>
      </w:r>
      <w:r w:rsidR="00D5398D">
        <w:t xml:space="preserve">figure non ancora presenti in azienda, persone con differenti competenze destinate a svolgere ruoli nuovi, percorsi di crescita non ancora sperimentati dall’azienda stessa. </w:t>
      </w:r>
    </w:p>
    <w:p w14:paraId="74D6C33A" w14:textId="77777777" w:rsidR="002E785B" w:rsidRDefault="00D5398D" w:rsidP="00136FD2">
      <w:r>
        <w:t>Larga parte delle imprese nate nel corso degli ultimi due anni svolg</w:t>
      </w:r>
      <w:r w:rsidR="00067E4A">
        <w:t>e</w:t>
      </w:r>
      <w:r>
        <w:t xml:space="preserve"> attività non </w:t>
      </w:r>
      <w:r w:rsidR="00B7316F">
        <w:t>contemplate</w:t>
      </w:r>
      <w:r>
        <w:t xml:space="preserve"> nella classificazione Ateco, l’attribuzione settoriale che viene assegnata dalla Camera di commercio al momento dell’iscrizione</w:t>
      </w:r>
      <w:r w:rsidR="005011E0">
        <w:t xml:space="preserve"> al Registro delle imprese. </w:t>
      </w:r>
    </w:p>
    <w:p w14:paraId="6E0C74F0" w14:textId="77777777" w:rsidR="00F84B85" w:rsidRDefault="005011E0" w:rsidP="00136FD2">
      <w:r>
        <w:t>Nuovi lavori e nuove attività</w:t>
      </w:r>
      <w:r w:rsidR="00067E4A">
        <w:t xml:space="preserve"> che solo pochi anni</w:t>
      </w:r>
      <w:r w:rsidR="00794996">
        <w:t xml:space="preserve"> (mesi)</w:t>
      </w:r>
      <w:r w:rsidR="00067E4A">
        <w:t xml:space="preserve"> fa non esistevano</w:t>
      </w:r>
      <w:r>
        <w:t>, segnali d</w:t>
      </w:r>
      <w:r w:rsidR="00067E4A">
        <w:t>i un’economia che sta cambiando, esiti di una trasformazione che i nostri tradizionali filtri statistici faticano a mettere a fuoco.</w:t>
      </w:r>
    </w:p>
    <w:p w14:paraId="6EEF188A" w14:textId="77777777" w:rsidR="00067E4A" w:rsidRDefault="00067E4A" w:rsidP="00136FD2"/>
    <w:p w14:paraId="658D61FD" w14:textId="77777777" w:rsidR="00C851C5" w:rsidRDefault="00794996" w:rsidP="00136FD2">
      <w:r>
        <w:t>In definitiva, ne</w:t>
      </w:r>
      <w:r w:rsidR="00067E4A">
        <w:t xml:space="preserve">l racconto di questo rapporto 2019 </w:t>
      </w:r>
      <w:r>
        <w:t>convivono</w:t>
      </w:r>
      <w:r w:rsidR="00067E4A">
        <w:t xml:space="preserve"> due narrazioni differenti. </w:t>
      </w:r>
      <w:r w:rsidR="00033658">
        <w:t>L</w:t>
      </w:r>
      <w:r w:rsidR="00067E4A">
        <w:t>a</w:t>
      </w:r>
      <w:r w:rsidR="00033658">
        <w:t xml:space="preserve"> prima</w:t>
      </w:r>
      <w:r w:rsidR="00067E4A">
        <w:t xml:space="preserve">, </w:t>
      </w:r>
      <w:r w:rsidR="00033658">
        <w:t xml:space="preserve">esposta a voce alta, </w:t>
      </w:r>
      <w:r w:rsidR="009B2C90">
        <w:t>ricca di numeri, positivi e negativi, parla di settori. La seconda, sottotraccia, guarda ad un mondo “non ancora inventato”</w:t>
      </w:r>
      <w:r w:rsidR="00C851C5">
        <w:t xml:space="preserve">, </w:t>
      </w:r>
      <w:r w:rsidR="009B2C90">
        <w:t>all’</w:t>
      </w:r>
      <w:r w:rsidR="00C851C5">
        <w:t>economia che verrà.</w:t>
      </w:r>
      <w:r w:rsidR="009B2C90">
        <w:t xml:space="preserve"> </w:t>
      </w:r>
    </w:p>
    <w:p w14:paraId="7BF50A7D" w14:textId="77777777" w:rsidR="00C851C5" w:rsidRDefault="00C851C5" w:rsidP="00136FD2">
      <w:r>
        <w:t>E, probabilmente, la narrazione a due voci è l’unica via per dare conto di un ciclo economico che sembra aver esaurito la sua spinta propulsiva</w:t>
      </w:r>
      <w:r w:rsidR="00301E6A">
        <w:t xml:space="preserve"> e di un nuovo ciclo che sembra aver preso avvio, sulla spinta del digitale, della sostenibilità. Un nuovo ciclo ricco di opportunità per chi ha idee, competenze, entusiasmo e coraggio. </w:t>
      </w:r>
    </w:p>
    <w:p w14:paraId="02A0469D" w14:textId="2F26D85A" w:rsidR="00F3247C" w:rsidRPr="00562C51" w:rsidRDefault="00F3247C" w:rsidP="00F3247C">
      <w:pPr>
        <w:pStyle w:val="Titolo2"/>
      </w:pPr>
      <w:r w:rsidRPr="00AF1582">
        <w:t>Le previsioni per l’economia regionale</w:t>
      </w:r>
      <w:r w:rsidRPr="00562C51">
        <w:t xml:space="preserve"> </w:t>
      </w:r>
    </w:p>
    <w:p w14:paraId="59C1A969" w14:textId="77777777" w:rsidR="00452389" w:rsidRDefault="001D1272" w:rsidP="00562C51">
      <w:r>
        <w:t>Secondo gli “</w:t>
      </w:r>
      <w:r w:rsidRPr="00AF1582">
        <w:rPr>
          <w:i/>
        </w:rPr>
        <w:t>scenari per le economie locali</w:t>
      </w:r>
      <w:r>
        <w:t>” di Prometeia</w:t>
      </w:r>
      <w:r w:rsidR="00AF1582">
        <w:t>, aggiornati a ottobre 2019,</w:t>
      </w:r>
      <w:r>
        <w:t xml:space="preserve"> l</w:t>
      </w:r>
      <w:r w:rsidR="00562C51" w:rsidRPr="00766D52">
        <w:t xml:space="preserve">a crescita del </w:t>
      </w:r>
      <w:r w:rsidR="00562C51" w:rsidRPr="00BE295A">
        <w:rPr>
          <w:b/>
        </w:rPr>
        <w:t>prodotto interno lordo</w:t>
      </w:r>
      <w:r w:rsidR="00562C51" w:rsidRPr="00766D52">
        <w:t xml:space="preserve"> </w:t>
      </w:r>
      <w:r w:rsidR="00452389">
        <w:t>a fine 2019 rispetto all’anno precedente dovrebbe risultare pari allo 0,5</w:t>
      </w:r>
      <w:r w:rsidR="00562C51" w:rsidRPr="00766D52">
        <w:t xml:space="preserve"> per cento, </w:t>
      </w:r>
      <w:r w:rsidR="00452389">
        <w:t xml:space="preserve">mentre per il 2020 si prevede un tasso di </w:t>
      </w:r>
      <w:r w:rsidR="00F823E3">
        <w:t>incremento</w:t>
      </w:r>
      <w:r w:rsidR="00452389">
        <w:t xml:space="preserve"> più consistente</w:t>
      </w:r>
      <w:r w:rsidR="00562C51" w:rsidRPr="00766D52">
        <w:t xml:space="preserve"> (+1,</w:t>
      </w:r>
      <w:r w:rsidR="00452389">
        <w:t xml:space="preserve">1 per cento). </w:t>
      </w:r>
      <w:r w:rsidR="00F823E3">
        <w:t xml:space="preserve">È il settore delle costruzioni a contribuire maggiormente alla crescita del valore aggiunto </w:t>
      </w:r>
      <w:r w:rsidR="00167D32">
        <w:t>regionale</w:t>
      </w:r>
      <w:r w:rsidR="00F823E3">
        <w:t xml:space="preserve"> con una variazione nel 2019 rispetto al 2018 che dovrebbe attestarsi attorno </w:t>
      </w:r>
      <w:r w:rsidR="00167D32">
        <w:t xml:space="preserve">al 3,9 per cento, mentre per industria e servizi si prevede un aumento dello 0,3 per cento. A sostenere il manifatturiero sono, ancora una volta, le </w:t>
      </w:r>
      <w:r w:rsidR="00167D32" w:rsidRPr="00AF1582">
        <w:rPr>
          <w:b/>
        </w:rPr>
        <w:t xml:space="preserve">esportazioni </w:t>
      </w:r>
      <w:r w:rsidR="00167D32">
        <w:t>previste in crescita del 5 per cento. Variazione positiva anche per gl</w:t>
      </w:r>
      <w:r w:rsidR="00AF1582">
        <w:t xml:space="preserve">i </w:t>
      </w:r>
      <w:r w:rsidR="00AF1582" w:rsidRPr="00AF1582">
        <w:rPr>
          <w:b/>
        </w:rPr>
        <w:t>investimenti</w:t>
      </w:r>
      <w:r w:rsidR="00AF1582">
        <w:t xml:space="preserve"> (+2,9 per cento), </w:t>
      </w:r>
      <w:r w:rsidR="00E96537">
        <w:t xml:space="preserve">la </w:t>
      </w:r>
      <w:r w:rsidR="00E96537" w:rsidRPr="00AF1582">
        <w:rPr>
          <w:b/>
        </w:rPr>
        <w:t>domanda interna</w:t>
      </w:r>
      <w:r w:rsidR="00E96537">
        <w:t xml:space="preserve"> segnerà a fine anno un +1,1 per cento.</w:t>
      </w:r>
    </w:p>
    <w:p w14:paraId="758CF9B6" w14:textId="77777777" w:rsidR="00806C8E" w:rsidRDefault="00E96537" w:rsidP="00E96537">
      <w:r>
        <w:t xml:space="preserve">Buone notizie sul fronte occupazionale, si rafforza la dinamica evidenziata negli ultimi anni, nel 2019 il </w:t>
      </w:r>
      <w:r w:rsidRPr="00FD1A1F">
        <w:rPr>
          <w:b/>
        </w:rPr>
        <w:t>numero degli occupati</w:t>
      </w:r>
      <w:r>
        <w:t xml:space="preserve"> è stimato in aumento di un ulteriore 2 per cento. Contestualmente i</w:t>
      </w:r>
      <w:r w:rsidR="00F823E3" w:rsidRPr="00F823E3">
        <w:t xml:space="preserve">l tasso di </w:t>
      </w:r>
      <w:r w:rsidR="00F823E3" w:rsidRPr="00AF1582">
        <w:rPr>
          <w:b/>
        </w:rPr>
        <w:t>disoccupazione</w:t>
      </w:r>
      <w:r w:rsidR="00F823E3" w:rsidRPr="00F823E3">
        <w:t xml:space="preserve"> si ridurrà al 5,2 per cento nel 2019 e al 5,0 per cento nel 2020.</w:t>
      </w:r>
    </w:p>
    <w:p w14:paraId="3C54A06C" w14:textId="0046C10D" w:rsidR="00A33FD6" w:rsidRPr="00E45E5F" w:rsidRDefault="00A33FD6" w:rsidP="00D8220A">
      <w:pPr>
        <w:pStyle w:val="Titolo2"/>
      </w:pPr>
      <w:r w:rsidRPr="00DF77B8">
        <w:t>Demografia delle imprese</w:t>
      </w:r>
    </w:p>
    <w:p w14:paraId="159B18E4" w14:textId="77777777" w:rsidR="00E45E5F" w:rsidRDefault="00E45E5F" w:rsidP="00E45E5F">
      <w:r>
        <w:t>Al 30 settembre 201</w:t>
      </w:r>
      <w:r w:rsidR="00963B03">
        <w:t>9</w:t>
      </w:r>
      <w:r>
        <w:t xml:space="preserve"> le </w:t>
      </w:r>
      <w:r w:rsidRPr="00FD1A1F">
        <w:rPr>
          <w:b/>
        </w:rPr>
        <w:t>imprese attive</w:t>
      </w:r>
      <w:r>
        <w:t xml:space="preserve"> in Emilia-Romagna erano poco </w:t>
      </w:r>
      <w:r w:rsidR="00963B03">
        <w:t>più</w:t>
      </w:r>
      <w:r>
        <w:t xml:space="preserve"> di 40</w:t>
      </w:r>
      <w:r w:rsidR="00963B03">
        <w:t>0</w:t>
      </w:r>
      <w:r>
        <w:t xml:space="preserve">mila, </w:t>
      </w:r>
      <w:r w:rsidR="00963B03">
        <w:t>2.875</w:t>
      </w:r>
      <w:r>
        <w:t xml:space="preserve"> in meno rispetto allo stesso periodo dell’anno precedente (-0,</w:t>
      </w:r>
      <w:r w:rsidR="00963B03">
        <w:t>7</w:t>
      </w:r>
      <w:r>
        <w:t xml:space="preserve"> per cento), </w:t>
      </w:r>
      <w:r w:rsidR="00DF77B8">
        <w:t xml:space="preserve">a </w:t>
      </w:r>
      <w:proofErr w:type="gramStart"/>
      <w:r w:rsidR="00DF77B8">
        <w:t xml:space="preserve">fronte </w:t>
      </w:r>
      <w:r>
        <w:t xml:space="preserve"> di</w:t>
      </w:r>
      <w:proofErr w:type="gramEnd"/>
      <w:r>
        <w:t xml:space="preserve"> un aumento del numero </w:t>
      </w:r>
      <w:r>
        <w:lastRenderedPageBreak/>
        <w:t>degli addetti nelle imprese del</w:t>
      </w:r>
      <w:r w:rsidR="00963B03">
        <w:t>l’1,9</w:t>
      </w:r>
      <w:r>
        <w:t xml:space="preserve"> per cento. Una flessione</w:t>
      </w:r>
      <w:r w:rsidR="00963B03">
        <w:t xml:space="preserve"> del tessuto imprenditoriale</w:t>
      </w:r>
      <w:r>
        <w:t xml:space="preserve"> che non va interpretata negativamente in quanto associata a una crescita occupazionale e, quindi, a un rafforzamento delle imprese esistenti.</w:t>
      </w:r>
      <w:r w:rsidR="00963B03">
        <w:t xml:space="preserve"> </w:t>
      </w:r>
    </w:p>
    <w:p w14:paraId="7A16AB81" w14:textId="77777777" w:rsidR="00E45E5F" w:rsidRDefault="00E45E5F" w:rsidP="00E45E5F">
      <w:r>
        <w:t xml:space="preserve">Le </w:t>
      </w:r>
      <w:r w:rsidRPr="00F06256">
        <w:rPr>
          <w:b/>
        </w:rPr>
        <w:t>aziende straniere</w:t>
      </w:r>
      <w:r>
        <w:t xml:space="preserve"> in Emilia-Romagna sono oltre 4</w:t>
      </w:r>
      <w:r w:rsidR="00963B03">
        <w:t>9</w:t>
      </w:r>
      <w:r>
        <w:t xml:space="preserve">mila, il 12 per cento del totale delle imprese regionali, il </w:t>
      </w:r>
      <w:r w:rsidR="00963B03">
        <w:t>2</w:t>
      </w:r>
      <w:r>
        <w:t xml:space="preserve"> per cento in più rispetto all’anno precedente. </w:t>
      </w:r>
      <w:r w:rsidR="00DF77B8">
        <w:t>Si conferma la dinamica che vede il</w:t>
      </w:r>
      <w:r>
        <w:t xml:space="preserve"> calo delle imprese con titolare italiano</w:t>
      </w:r>
      <w:r w:rsidR="00DF77B8">
        <w:t xml:space="preserve"> e</w:t>
      </w:r>
      <w:r>
        <w:t xml:space="preserve"> la crescita degli stranieri che avviano un’attività imprenditoriale. </w:t>
      </w:r>
    </w:p>
    <w:p w14:paraId="52BE7B68" w14:textId="77777777" w:rsidR="00E45E5F" w:rsidRDefault="00963B03" w:rsidP="00E45E5F">
      <w:r>
        <w:t xml:space="preserve">Gli imprenditori con nazionalità estera maggiormente presenti in regione provengono dalla Cina che lo scorso anno ha </w:t>
      </w:r>
      <w:r w:rsidR="00DF77B8">
        <w:t>sopravanzato</w:t>
      </w:r>
      <w:r>
        <w:t xml:space="preserve"> il Marocco, </w:t>
      </w:r>
      <w:r w:rsidR="00DF77B8">
        <w:t xml:space="preserve">quest’ultimo </w:t>
      </w:r>
      <w:r>
        <w:t>nel 2019 superato anche dall’Albania. Servizi alla persona, commercio, ristorazione e attività manifatturiere (comparto della moda) i settori di maggior interesse per</w:t>
      </w:r>
      <w:r w:rsidR="00DF77B8">
        <w:t xml:space="preserve"> </w:t>
      </w:r>
      <w:r>
        <w:t>le quasi 5mila imprese cinesi. Sembra essersi esaurita l’ondata di nuova imprenditoria creata da nordafricani (Marocco, Tunisia, Egitto), cresce la componente asiatica e quella dell’Europa orientale.</w:t>
      </w:r>
    </w:p>
    <w:p w14:paraId="7091353F" w14:textId="77777777" w:rsidR="00E45E5F" w:rsidRDefault="00E45E5F" w:rsidP="00E45E5F">
      <w:r>
        <w:t xml:space="preserve">Le </w:t>
      </w:r>
      <w:r w:rsidRPr="00F06256">
        <w:rPr>
          <w:b/>
        </w:rPr>
        <w:t>imprese femminili</w:t>
      </w:r>
      <w:r>
        <w:t xml:space="preserve"> </w:t>
      </w:r>
      <w:r w:rsidR="00963B03">
        <w:t>costituiscono oltre un quinto del tessuto imprenditoriale regionale, il 14 per cento dell’occupazione. Nell’ultimo anno il numero delle imprese femminili è rimasto pressoché invariato, mentre nel lungo periodo si è registrata una modesta crescita. Le imprese femminili ottengono risultati migliori</w:t>
      </w:r>
      <w:r w:rsidR="00DF77B8">
        <w:t xml:space="preserve"> rispetto alle altre</w:t>
      </w:r>
      <w:r w:rsidR="00963B03">
        <w:t xml:space="preserve"> anche sul fronte occupazionale, con una crescita più consistente sia nell’ultimo anno che nel lungo </w:t>
      </w:r>
      <w:proofErr w:type="gramStart"/>
      <w:r w:rsidR="00963B03">
        <w:t>periodo.</w:t>
      </w:r>
      <w:r>
        <w:t>.</w:t>
      </w:r>
      <w:proofErr w:type="gramEnd"/>
    </w:p>
    <w:p w14:paraId="0DB4A461" w14:textId="77777777" w:rsidR="00E45E5F" w:rsidRDefault="00963B03" w:rsidP="001D1272">
      <w:r>
        <w:t xml:space="preserve">Variazioni ancora negative per quanto riguarda le </w:t>
      </w:r>
      <w:r w:rsidRPr="00F06256">
        <w:rPr>
          <w:b/>
        </w:rPr>
        <w:t>imprese giovanili</w:t>
      </w:r>
      <w:r>
        <w:t>, diminuite nell’ultimo anno del 2 per cento in termini di aziende, mentre l’occupazione è cresciuta del 2 per cento.</w:t>
      </w:r>
      <w:r w:rsidR="00E45E5F">
        <w:t xml:space="preserve"> </w:t>
      </w:r>
      <w:r>
        <w:t xml:space="preserve">Il calo del numero delle imprese giovanili va correlato sia all’andamento demografico della popolazione, sia al basso tasso di disoccupazione regionale; a differenza di quanto avviene in altre parti del Paese la possibilità di trovare un lavoro alle dipendenze disincentiva </w:t>
      </w:r>
      <w:r w:rsidR="00285025">
        <w:t>scelte volte all’autoimprenditorialità,</w:t>
      </w:r>
    </w:p>
    <w:p w14:paraId="6612E5B1" w14:textId="77777777" w:rsidR="00E45E5F" w:rsidRDefault="00E45E5F" w:rsidP="00E45E5F">
      <w:r>
        <w:t xml:space="preserve">I dati sulla demografia d’impresa suddivisi per </w:t>
      </w:r>
      <w:r w:rsidRPr="00E45E5F">
        <w:rPr>
          <w:b/>
        </w:rPr>
        <w:t>settore</w:t>
      </w:r>
      <w:r>
        <w:t xml:space="preserve"> </w:t>
      </w:r>
      <w:r w:rsidR="00285025">
        <w:t xml:space="preserve">confermano e prolungano le dinamiche in atto da alcuni anni. Vi sono alcuni comparti interessati da una progressiva riduzione del numero di imprese, in particolare l’agricoltura, le costruzioni e il manifatturiero. In calo anche il commercio, flessione contenuta dalla crescita al suo interno della componente più rivolta al turismo, in particolare le attività legate all’alloggio e alla ristorazione. Crescono i servizi, sia quelli rivolti alle imprese sia quelli alle persone. </w:t>
      </w:r>
    </w:p>
    <w:p w14:paraId="7E02A9F0" w14:textId="3568C6B9" w:rsidR="00A33FD6" w:rsidRPr="00B74DF1" w:rsidRDefault="00A33FD6" w:rsidP="00D8220A">
      <w:pPr>
        <w:pStyle w:val="Titolo2"/>
      </w:pPr>
      <w:r w:rsidRPr="00DF77B8">
        <w:t>Mercato del lavoro.</w:t>
      </w:r>
      <w:r w:rsidRPr="00B74DF1">
        <w:t xml:space="preserve"> </w:t>
      </w:r>
    </w:p>
    <w:p w14:paraId="473E58F1" w14:textId="77777777" w:rsidR="00A33FD6" w:rsidRPr="00662967" w:rsidRDefault="00A33FD6" w:rsidP="005B6F19">
      <w:pPr>
        <w:rPr>
          <w:rFonts w:cs="Arial"/>
        </w:rPr>
      </w:pPr>
      <w:r w:rsidRPr="00662967">
        <w:rPr>
          <w:rFonts w:cs="Arial"/>
        </w:rPr>
        <w:t>Secondo l’indagine Istat sulle forze di lavoro, i primi nove mesi del 201</w:t>
      </w:r>
      <w:r w:rsidR="003C3CFD">
        <w:rPr>
          <w:rFonts w:cs="Arial"/>
        </w:rPr>
        <w:t>9</w:t>
      </w:r>
      <w:r w:rsidRPr="00662967">
        <w:rPr>
          <w:rFonts w:cs="Arial"/>
        </w:rPr>
        <w:t xml:space="preserve"> si sono chiusi positivamente per l’occupazione in regione. Tra gennaio e settembre l’</w:t>
      </w:r>
      <w:r w:rsidRPr="00662967">
        <w:rPr>
          <w:rFonts w:cs="Arial"/>
          <w:b/>
        </w:rPr>
        <w:t>occupazione</w:t>
      </w:r>
      <w:r w:rsidRPr="00662967">
        <w:rPr>
          <w:rFonts w:cs="Arial"/>
        </w:rPr>
        <w:t xml:space="preserve"> dell’Emilia-Romagna è mediamente ammontata a circa </w:t>
      </w:r>
      <w:r w:rsidR="00662967" w:rsidRPr="00662967">
        <w:rPr>
          <w:rFonts w:cs="Arial"/>
        </w:rPr>
        <w:t>2</w:t>
      </w:r>
      <w:r w:rsidRPr="00662967">
        <w:rPr>
          <w:rFonts w:cs="Arial"/>
        </w:rPr>
        <w:t>.</w:t>
      </w:r>
      <w:r w:rsidR="00662967" w:rsidRPr="00662967">
        <w:rPr>
          <w:rFonts w:cs="Arial"/>
        </w:rPr>
        <w:t>0</w:t>
      </w:r>
      <w:r w:rsidR="003C3CFD">
        <w:rPr>
          <w:rFonts w:cs="Arial"/>
        </w:rPr>
        <w:t>31</w:t>
      </w:r>
      <w:r w:rsidRPr="00662967">
        <w:rPr>
          <w:rFonts w:cs="Arial"/>
        </w:rPr>
        <w:t xml:space="preserve">.000 persone, vale a dire </w:t>
      </w:r>
      <w:r w:rsidR="003C3CFD">
        <w:rPr>
          <w:rFonts w:cs="Arial"/>
        </w:rPr>
        <w:t>oltre</w:t>
      </w:r>
      <w:r w:rsidRPr="00662967">
        <w:rPr>
          <w:rFonts w:cs="Arial"/>
        </w:rPr>
        <w:t xml:space="preserve"> </w:t>
      </w:r>
      <w:r w:rsidR="00662967" w:rsidRPr="00662967">
        <w:rPr>
          <w:rFonts w:cs="Arial"/>
        </w:rPr>
        <w:t>2</w:t>
      </w:r>
      <w:r w:rsidR="003C3CFD">
        <w:rPr>
          <w:rFonts w:cs="Arial"/>
        </w:rPr>
        <w:t>6</w:t>
      </w:r>
      <w:r w:rsidRPr="00662967">
        <w:rPr>
          <w:rFonts w:cs="Arial"/>
        </w:rPr>
        <w:t>.000 occupati in più rispetto all’analogo periodo del 201</w:t>
      </w:r>
      <w:r w:rsidR="00662967" w:rsidRPr="00662967">
        <w:rPr>
          <w:rFonts w:cs="Arial"/>
        </w:rPr>
        <w:t>7</w:t>
      </w:r>
      <w:r w:rsidR="00ED57DC">
        <w:rPr>
          <w:rFonts w:cs="Arial"/>
        </w:rPr>
        <w:t>, per un incremento dell’1,</w:t>
      </w:r>
      <w:r w:rsidR="003C3CFD">
        <w:rPr>
          <w:rFonts w:cs="Arial"/>
        </w:rPr>
        <w:t>3</w:t>
      </w:r>
      <w:r w:rsidR="00ED57DC">
        <w:rPr>
          <w:rFonts w:cs="Arial"/>
        </w:rPr>
        <w:t xml:space="preserve"> per cento.</w:t>
      </w:r>
      <w:r w:rsidRPr="00662967">
        <w:rPr>
          <w:rFonts w:cs="Arial"/>
        </w:rPr>
        <w:t xml:space="preserve"> </w:t>
      </w:r>
    </w:p>
    <w:p w14:paraId="3DE70006" w14:textId="77777777" w:rsidR="00A33FD6" w:rsidRPr="00662967" w:rsidRDefault="00A33FD6" w:rsidP="005B6F19">
      <w:pPr>
        <w:rPr>
          <w:rFonts w:cs="Arial"/>
        </w:rPr>
      </w:pPr>
      <w:r w:rsidRPr="00662967">
        <w:rPr>
          <w:rFonts w:cs="Arial"/>
        </w:rPr>
        <w:t xml:space="preserve">Il </w:t>
      </w:r>
      <w:r w:rsidRPr="00662967">
        <w:rPr>
          <w:rFonts w:cs="Arial"/>
          <w:b/>
        </w:rPr>
        <w:t>tasso disoccupazione</w:t>
      </w:r>
      <w:r w:rsidRPr="00662967">
        <w:rPr>
          <w:rFonts w:cs="Arial"/>
        </w:rPr>
        <w:t>, che misura l’incidenza delle persone in cerca di occupazione sul totale delle forze di lavoro (cioè di coloro che hanno un lavoro o lo cercano attivamente), nei primi nove mesi del 201</w:t>
      </w:r>
      <w:r w:rsidR="003C3CFD">
        <w:rPr>
          <w:rFonts w:cs="Arial"/>
        </w:rPr>
        <w:t xml:space="preserve">9 </w:t>
      </w:r>
      <w:r w:rsidRPr="00662967">
        <w:rPr>
          <w:rFonts w:cs="Arial"/>
        </w:rPr>
        <w:t xml:space="preserve">è stato pari al </w:t>
      </w:r>
      <w:r w:rsidR="00662967">
        <w:rPr>
          <w:rFonts w:cs="Arial"/>
        </w:rPr>
        <w:t>5</w:t>
      </w:r>
      <w:r w:rsidRPr="00662967">
        <w:rPr>
          <w:rFonts w:cs="Arial"/>
        </w:rPr>
        <w:t>,</w:t>
      </w:r>
      <w:r w:rsidR="003C3CFD">
        <w:rPr>
          <w:rFonts w:cs="Arial"/>
        </w:rPr>
        <w:t>4</w:t>
      </w:r>
      <w:r w:rsidRPr="00662967">
        <w:rPr>
          <w:rFonts w:cs="Arial"/>
        </w:rPr>
        <w:t xml:space="preserve"> per cento in discesa rispetto all’analogo periodo del 201</w:t>
      </w:r>
      <w:r w:rsidR="003C3CFD">
        <w:rPr>
          <w:rFonts w:cs="Arial"/>
        </w:rPr>
        <w:t>8</w:t>
      </w:r>
      <w:r w:rsidRPr="00662967">
        <w:rPr>
          <w:rFonts w:cs="Arial"/>
        </w:rPr>
        <w:t xml:space="preserve">, quando era pari al </w:t>
      </w:r>
      <w:r w:rsidR="003C3CFD">
        <w:rPr>
          <w:rFonts w:cs="Arial"/>
        </w:rPr>
        <w:t>5,7</w:t>
      </w:r>
      <w:r w:rsidR="00662967">
        <w:rPr>
          <w:rFonts w:cs="Arial"/>
        </w:rPr>
        <w:t xml:space="preserve"> </w:t>
      </w:r>
      <w:r w:rsidRPr="00662967">
        <w:rPr>
          <w:rFonts w:cs="Arial"/>
        </w:rPr>
        <w:t>per cento.</w:t>
      </w:r>
      <w:r w:rsidR="003C3CFD">
        <w:rPr>
          <w:rFonts w:cs="Arial"/>
        </w:rPr>
        <w:t xml:space="preserve"> </w:t>
      </w:r>
    </w:p>
    <w:p w14:paraId="61F8C44A" w14:textId="77777777" w:rsidR="00A33FD6" w:rsidRPr="00662967" w:rsidRDefault="00A33FD6" w:rsidP="005B6F19">
      <w:pPr>
        <w:rPr>
          <w:rFonts w:cs="Arial"/>
        </w:rPr>
      </w:pPr>
      <w:r w:rsidRPr="00662967">
        <w:rPr>
          <w:rFonts w:cs="Arial"/>
        </w:rPr>
        <w:t xml:space="preserve">Il </w:t>
      </w:r>
      <w:r w:rsidRPr="00662967">
        <w:rPr>
          <w:rFonts w:cs="Arial"/>
          <w:b/>
        </w:rPr>
        <w:t>tasso di occupazione</w:t>
      </w:r>
      <w:r w:rsidRPr="00662967">
        <w:rPr>
          <w:rFonts w:cs="Arial"/>
        </w:rPr>
        <w:t>, che misura il peso delle persone che tra i 15 ed i 64 anni lavorano sulla popolazione complessiva della medesima fascia d’età, nei primi nove mesi del 201</w:t>
      </w:r>
      <w:r w:rsidR="003C3CFD">
        <w:rPr>
          <w:rFonts w:cs="Arial"/>
        </w:rPr>
        <w:t>9</w:t>
      </w:r>
      <w:r w:rsidRPr="00662967">
        <w:rPr>
          <w:rFonts w:cs="Arial"/>
        </w:rPr>
        <w:t xml:space="preserve"> ha raggiunto il </w:t>
      </w:r>
      <w:r w:rsidR="003C3CFD">
        <w:rPr>
          <w:rFonts w:cs="Arial"/>
        </w:rPr>
        <w:t>70,4</w:t>
      </w:r>
      <w:r w:rsidRPr="00662967">
        <w:rPr>
          <w:rFonts w:cs="Arial"/>
        </w:rPr>
        <w:t xml:space="preserve"> per cento. </w:t>
      </w:r>
      <w:r w:rsidR="00662967">
        <w:rPr>
          <w:rFonts w:cs="Arial"/>
        </w:rPr>
        <w:t>Nello stesso periodo del 201</w:t>
      </w:r>
      <w:r w:rsidR="003C3CFD">
        <w:rPr>
          <w:rFonts w:cs="Arial"/>
        </w:rPr>
        <w:t>8</w:t>
      </w:r>
      <w:r w:rsidR="00662967">
        <w:rPr>
          <w:rFonts w:cs="Arial"/>
        </w:rPr>
        <w:t xml:space="preserve"> il valore era pari a 6</w:t>
      </w:r>
      <w:r w:rsidR="003C3CFD">
        <w:rPr>
          <w:rFonts w:cs="Arial"/>
        </w:rPr>
        <w:t>9,6</w:t>
      </w:r>
      <w:r w:rsidR="00662967">
        <w:rPr>
          <w:rFonts w:cs="Arial"/>
        </w:rPr>
        <w:t xml:space="preserve"> per cento.</w:t>
      </w:r>
    </w:p>
    <w:p w14:paraId="1F8F2A1E" w14:textId="77777777" w:rsidR="00A33FD6" w:rsidRPr="00B74DF1" w:rsidRDefault="00A33FD6" w:rsidP="005B6F19">
      <w:pPr>
        <w:rPr>
          <w:rFonts w:cs="Arial"/>
        </w:rPr>
      </w:pPr>
      <w:r w:rsidRPr="00B74DF1">
        <w:rPr>
          <w:rFonts w:cs="Arial"/>
        </w:rPr>
        <w:t xml:space="preserve">Da </w:t>
      </w:r>
      <w:r w:rsidRPr="00B74DF1">
        <w:rPr>
          <w:rFonts w:cs="Arial"/>
          <w:b/>
        </w:rPr>
        <w:t>punto di vista del genere</w:t>
      </w:r>
      <w:r w:rsidRPr="00B74DF1">
        <w:rPr>
          <w:rFonts w:cs="Arial"/>
        </w:rPr>
        <w:t xml:space="preserve"> va notato come i buoni dati sull’occupazione dell’Emilia-Romagna derivino </w:t>
      </w:r>
      <w:r w:rsidR="001D1272">
        <w:rPr>
          <w:rFonts w:cs="Arial"/>
        </w:rPr>
        <w:t>anche</w:t>
      </w:r>
      <w:r w:rsidRPr="00B74DF1">
        <w:rPr>
          <w:rFonts w:cs="Arial"/>
        </w:rPr>
        <w:t xml:space="preserve"> dall’elevata partecipazione al mercato del lavoro della componente femminile</w:t>
      </w:r>
      <w:r w:rsidR="00B74DF1">
        <w:rPr>
          <w:rFonts w:cs="Arial"/>
        </w:rPr>
        <w:t>. Nei primi nove mesi dell’anno</w:t>
      </w:r>
      <w:r w:rsidRPr="00B74DF1">
        <w:rPr>
          <w:rFonts w:cs="Arial"/>
        </w:rPr>
        <w:t xml:space="preserve"> </w:t>
      </w:r>
      <w:r w:rsidR="00B74DF1">
        <w:rPr>
          <w:rFonts w:cs="Arial"/>
        </w:rPr>
        <w:t xml:space="preserve">il tasso di occupazione femminile è stato del </w:t>
      </w:r>
      <w:r w:rsidR="003C3CFD">
        <w:rPr>
          <w:rFonts w:cs="Arial"/>
        </w:rPr>
        <w:t>64</w:t>
      </w:r>
      <w:r w:rsidR="00B74DF1">
        <w:rPr>
          <w:rFonts w:cs="Arial"/>
        </w:rPr>
        <w:t xml:space="preserve"> per cento, in crescita rispetto </w:t>
      </w:r>
      <w:r w:rsidR="00DF77B8">
        <w:rPr>
          <w:rFonts w:cs="Arial"/>
        </w:rPr>
        <w:t>all’anno precedente</w:t>
      </w:r>
      <w:r w:rsidR="003C3CFD">
        <w:rPr>
          <w:rFonts w:cs="Arial"/>
        </w:rPr>
        <w:t>, 62,7 per cento</w:t>
      </w:r>
      <w:r w:rsidR="00B74DF1">
        <w:rPr>
          <w:rFonts w:cs="Arial"/>
        </w:rPr>
        <w:t>.</w:t>
      </w:r>
      <w:r w:rsidRPr="00B74DF1">
        <w:rPr>
          <w:rFonts w:cs="Arial"/>
        </w:rPr>
        <w:t xml:space="preserve"> Il tasso di disoccupazione femminile si è attestato al </w:t>
      </w:r>
      <w:r w:rsidR="00B74DF1">
        <w:rPr>
          <w:rFonts w:cs="Arial"/>
        </w:rPr>
        <w:t>6,</w:t>
      </w:r>
      <w:r w:rsidR="00FD0283">
        <w:rPr>
          <w:rFonts w:cs="Arial"/>
        </w:rPr>
        <w:t>7</w:t>
      </w:r>
      <w:r w:rsidRPr="00B74DF1">
        <w:rPr>
          <w:rFonts w:cs="Arial"/>
        </w:rPr>
        <w:t xml:space="preserve"> per cento</w:t>
      </w:r>
      <w:r w:rsidR="00DF77B8">
        <w:rPr>
          <w:rFonts w:cs="Arial"/>
        </w:rPr>
        <w:t xml:space="preserve"> (</w:t>
      </w:r>
      <w:r w:rsidR="00FD0283">
        <w:rPr>
          <w:rFonts w:cs="Arial"/>
        </w:rPr>
        <w:t>6,9</w:t>
      </w:r>
      <w:r w:rsidRPr="00B74DF1">
        <w:rPr>
          <w:rFonts w:cs="Arial"/>
        </w:rPr>
        <w:t xml:space="preserve"> per cento </w:t>
      </w:r>
      <w:r w:rsidR="00DF77B8">
        <w:rPr>
          <w:rFonts w:cs="Arial"/>
        </w:rPr>
        <w:t>nel 2018)</w:t>
      </w:r>
      <w:r w:rsidRPr="00B74DF1">
        <w:rPr>
          <w:rFonts w:cs="Arial"/>
        </w:rPr>
        <w:t xml:space="preserve">. </w:t>
      </w:r>
    </w:p>
    <w:p w14:paraId="524F9591" w14:textId="77777777" w:rsidR="00A33FD6" w:rsidRPr="00ED57DC" w:rsidRDefault="00ED57DC" w:rsidP="005B6F19">
      <w:pPr>
        <w:rPr>
          <w:rFonts w:cs="Arial"/>
        </w:rPr>
      </w:pPr>
      <w:r>
        <w:rPr>
          <w:rFonts w:cs="Arial"/>
        </w:rPr>
        <w:t>L</w:t>
      </w:r>
      <w:r w:rsidR="00A33FD6" w:rsidRPr="00ED57DC">
        <w:rPr>
          <w:rFonts w:cs="Arial"/>
        </w:rPr>
        <w:t xml:space="preserve">e ore di </w:t>
      </w:r>
      <w:r w:rsidR="00A33FD6" w:rsidRPr="00ED57DC">
        <w:rPr>
          <w:rFonts w:cs="Arial"/>
          <w:b/>
        </w:rPr>
        <w:t xml:space="preserve">cassa integrazione </w:t>
      </w:r>
      <w:r w:rsidR="00A33FD6" w:rsidRPr="00ED57DC">
        <w:rPr>
          <w:rFonts w:cs="Arial"/>
        </w:rPr>
        <w:t>autorizzate nei primi 10 mesi del 201</w:t>
      </w:r>
      <w:r w:rsidR="00EA76AA">
        <w:rPr>
          <w:rFonts w:cs="Arial"/>
        </w:rPr>
        <w:t>9</w:t>
      </w:r>
      <w:r w:rsidR="00A33FD6" w:rsidRPr="00ED57DC">
        <w:rPr>
          <w:rFonts w:cs="Arial"/>
        </w:rPr>
        <w:t xml:space="preserve"> risultano in </w:t>
      </w:r>
      <w:r w:rsidR="00EA76AA">
        <w:rPr>
          <w:rFonts w:cs="Arial"/>
        </w:rPr>
        <w:t>aumento</w:t>
      </w:r>
      <w:r w:rsidR="00A33FD6" w:rsidRPr="00ED57DC">
        <w:rPr>
          <w:rFonts w:cs="Arial"/>
        </w:rPr>
        <w:t xml:space="preserve"> rispetto allo stesso periodo del 201</w:t>
      </w:r>
      <w:r w:rsidR="00EA76AA">
        <w:rPr>
          <w:rFonts w:cs="Arial"/>
        </w:rPr>
        <w:t>9</w:t>
      </w:r>
      <w:r w:rsidR="00A33FD6" w:rsidRPr="00ED57DC">
        <w:rPr>
          <w:rFonts w:cs="Arial"/>
        </w:rPr>
        <w:t xml:space="preserve"> (</w:t>
      </w:r>
      <w:r w:rsidR="00EA76AA">
        <w:rPr>
          <w:rFonts w:cs="Arial"/>
        </w:rPr>
        <w:t>27</w:t>
      </w:r>
      <w:r w:rsidR="00A33FD6" w:rsidRPr="00ED57DC">
        <w:rPr>
          <w:rFonts w:cs="Arial"/>
        </w:rPr>
        <w:t xml:space="preserve"> per cento</w:t>
      </w:r>
      <w:r w:rsidR="00EA76AA">
        <w:rPr>
          <w:rFonts w:cs="Arial"/>
        </w:rPr>
        <w:t xml:space="preserve"> in più</w:t>
      </w:r>
      <w:r w:rsidR="00A33FD6" w:rsidRPr="00ED57DC">
        <w:rPr>
          <w:rFonts w:cs="Arial"/>
        </w:rPr>
        <w:t xml:space="preserve">). </w:t>
      </w:r>
      <w:r w:rsidR="00EA76AA">
        <w:rPr>
          <w:rFonts w:cs="Arial"/>
        </w:rPr>
        <w:t>Cresce il ricorso alla cassa straordin</w:t>
      </w:r>
      <w:r w:rsidR="00523655">
        <w:rPr>
          <w:rFonts w:cs="Arial"/>
        </w:rPr>
        <w:t>aria nel manifatturiero e soprattutto nell’edilizia, per le artigiane aumenta considerevolmente la cassa integrazione in deroga</w:t>
      </w:r>
      <w:r w:rsidR="001D0456">
        <w:rPr>
          <w:rFonts w:cs="Arial"/>
        </w:rPr>
        <w:t>.</w:t>
      </w:r>
    </w:p>
    <w:p w14:paraId="5229BF41" w14:textId="0F9C6720" w:rsidR="00A33FD6" w:rsidRPr="00B90F0D" w:rsidRDefault="00A33FD6" w:rsidP="00D8220A">
      <w:pPr>
        <w:pStyle w:val="Titolo2"/>
      </w:pPr>
      <w:r w:rsidRPr="00DF77B8">
        <w:t>Agricoltura.</w:t>
      </w:r>
      <w:r w:rsidRPr="00B90F0D">
        <w:t xml:space="preserve"> </w:t>
      </w:r>
    </w:p>
    <w:p w14:paraId="269B09D1" w14:textId="77777777" w:rsidR="000D74A5" w:rsidRDefault="000D74A5" w:rsidP="000D74A5">
      <w:pPr>
        <w:pStyle w:val="Rientrocorpodeltesto3"/>
        <w:rPr>
          <w:color w:val="auto"/>
        </w:rPr>
      </w:pPr>
      <w:r w:rsidRPr="00A74D71">
        <w:rPr>
          <w:color w:val="auto"/>
        </w:rPr>
        <w:t xml:space="preserve">Prosegue </w:t>
      </w:r>
      <w:r w:rsidR="00A1173F">
        <w:rPr>
          <w:color w:val="auto"/>
        </w:rPr>
        <w:t>la contrazione</w:t>
      </w:r>
      <w:r w:rsidRPr="00A74D71">
        <w:rPr>
          <w:color w:val="auto"/>
        </w:rPr>
        <w:t xml:space="preserve"> delle imprese attive nei settori dell'agricoltura, caccia, silvicoltura e pesca che a fine settembre 2019 risultavano 55.914 ovvero 1.194 unità</w:t>
      </w:r>
      <w:r>
        <w:rPr>
          <w:color w:val="auto"/>
        </w:rPr>
        <w:t xml:space="preserve"> </w:t>
      </w:r>
      <w:r w:rsidRPr="00A74D71">
        <w:rPr>
          <w:color w:val="auto"/>
        </w:rPr>
        <w:t>in meno (-2,0 per cento) rispetto allo stesso mese del 2018.</w:t>
      </w:r>
      <w:r>
        <w:rPr>
          <w:color w:val="auto"/>
        </w:rPr>
        <w:t xml:space="preserve"> Gli occupati in </w:t>
      </w:r>
      <w:proofErr w:type="gramStart"/>
      <w:r>
        <w:rPr>
          <w:color w:val="auto"/>
        </w:rPr>
        <w:t xml:space="preserve">agricoltura </w:t>
      </w:r>
      <w:r w:rsidR="00DF77B8">
        <w:rPr>
          <w:color w:val="auto"/>
        </w:rPr>
        <w:t xml:space="preserve"> nei</w:t>
      </w:r>
      <w:proofErr w:type="gramEnd"/>
      <w:r w:rsidR="00DF77B8">
        <w:rPr>
          <w:color w:val="auto"/>
        </w:rPr>
        <w:t xml:space="preserve">  primi nove mesi </w:t>
      </w:r>
      <w:r>
        <w:rPr>
          <w:color w:val="auto"/>
        </w:rPr>
        <w:t xml:space="preserve">2019 </w:t>
      </w:r>
      <w:r w:rsidR="00DF77B8">
        <w:rPr>
          <w:color w:val="auto"/>
        </w:rPr>
        <w:t xml:space="preserve">sono stati mediamente circa 70mila, </w:t>
      </w:r>
      <w:r w:rsidR="00A1173F">
        <w:rPr>
          <w:color w:val="auto"/>
        </w:rPr>
        <w:t>mille in meno rispetto allo stesso periodo dell’anno precedente</w:t>
      </w:r>
      <w:r>
        <w:rPr>
          <w:color w:val="auto"/>
        </w:rPr>
        <w:t>.</w:t>
      </w:r>
    </w:p>
    <w:p w14:paraId="24D44B4D" w14:textId="77777777" w:rsidR="004C705F" w:rsidRDefault="004C705F" w:rsidP="000D74A5">
      <w:pPr>
        <w:pStyle w:val="Rientrocorpodeltesto3"/>
        <w:rPr>
          <w:color w:val="auto"/>
        </w:rPr>
      </w:pPr>
    </w:p>
    <w:p w14:paraId="7F59A189" w14:textId="77777777" w:rsidR="00A1173F" w:rsidRDefault="00C95269" w:rsidP="00C95269">
      <w:pPr>
        <w:pStyle w:val="Rientrocorpodeltesto3"/>
      </w:pPr>
      <w:r>
        <w:rPr>
          <w:color w:val="auto"/>
        </w:rPr>
        <w:lastRenderedPageBreak/>
        <w:t xml:space="preserve">Ricostruire l’andamento congiunturale dell’agricoltura nel suo complesso è operazione difficile alla luce della forte diversificazione che la caratterizza. Alcune indicazioni si possono avere guardando alle singole voci. </w:t>
      </w:r>
      <w:r w:rsidRPr="0088096C">
        <w:t xml:space="preserve">Secondo i dati dell’Assessorato regionale, la produzione raccolta del </w:t>
      </w:r>
      <w:r w:rsidRPr="004C705F">
        <w:rPr>
          <w:b/>
        </w:rPr>
        <w:t>frumento tenero</w:t>
      </w:r>
      <w:r w:rsidRPr="0088096C">
        <w:t xml:space="preserve"> è rimasta invariata, quell</w:t>
      </w:r>
      <w:r w:rsidR="00A1173F">
        <w:t>a del frumento duro si è ridotta, così come quella del mais</w:t>
      </w:r>
      <w:r w:rsidRPr="0088096C">
        <w:t xml:space="preserve">. Le quotazioni del nuovo raccolto sono scese </w:t>
      </w:r>
      <w:r w:rsidR="00A1173F">
        <w:t>per frumento tenero e mais mentre sono salite per il grano duro.</w:t>
      </w:r>
    </w:p>
    <w:p w14:paraId="2C96F96F" w14:textId="77777777" w:rsidR="00C95269" w:rsidRPr="0088096C" w:rsidRDefault="00C95269" w:rsidP="00C95269">
      <w:r w:rsidRPr="0088096C">
        <w:rPr>
          <w:rFonts w:cs="Arial"/>
        </w:rPr>
        <w:t>Non si dispone di dati su</w:t>
      </w:r>
      <w:r>
        <w:rPr>
          <w:rFonts w:cs="Arial"/>
        </w:rPr>
        <w:t>l</w:t>
      </w:r>
      <w:r w:rsidRPr="0088096C">
        <w:rPr>
          <w:rFonts w:cs="Arial"/>
        </w:rPr>
        <w:t xml:space="preserve">la produzione di </w:t>
      </w:r>
      <w:r w:rsidRPr="004C705F">
        <w:rPr>
          <w:rFonts w:cs="Arial"/>
          <w:b/>
        </w:rPr>
        <w:t>pere</w:t>
      </w:r>
      <w:r w:rsidRPr="0088096C">
        <w:rPr>
          <w:rFonts w:cs="Arial"/>
        </w:rPr>
        <w:t xml:space="preserve">, ma la quotazione alla produzione delle Abate Fetel </w:t>
      </w:r>
      <w:r w:rsidR="00A1173F">
        <w:rPr>
          <w:rFonts w:cs="Arial"/>
        </w:rPr>
        <w:t>e</w:t>
      </w:r>
      <w:r w:rsidRPr="0088096C">
        <w:rPr>
          <w:rFonts w:cs="Arial"/>
        </w:rPr>
        <w:t xml:space="preserve"> della William bianca</w:t>
      </w:r>
      <w:r w:rsidR="00A1173F">
        <w:rPr>
          <w:rFonts w:cs="Arial"/>
        </w:rPr>
        <w:t xml:space="preserve"> è aumentata considerevolmente</w:t>
      </w:r>
      <w:r w:rsidRPr="0088096C">
        <w:rPr>
          <w:rFonts w:cs="Arial"/>
        </w:rPr>
        <w:t xml:space="preserve">. </w:t>
      </w:r>
      <w:r w:rsidRPr="00C95269">
        <w:t xml:space="preserve">Per le </w:t>
      </w:r>
      <w:r w:rsidRPr="00C95269">
        <w:rPr>
          <w:bCs/>
        </w:rPr>
        <w:t>pere</w:t>
      </w:r>
      <w:r w:rsidRPr="00C95269">
        <w:t xml:space="preserve"> il calo consistente di volumi e qualità per i problemi causati da clima, cimice</w:t>
      </w:r>
      <w:r>
        <w:t xml:space="preserve"> asiatica</w:t>
      </w:r>
      <w:r w:rsidRPr="00C95269">
        <w:t xml:space="preserve"> e funghi, ha condotto ad un prezzo che risulta il più elevato degli ultimi anni, senza però raggiungere una PLV sufficiente a garantire redditi, così come accade per la </w:t>
      </w:r>
      <w:r w:rsidRPr="004C705F">
        <w:rPr>
          <w:bCs/>
        </w:rPr>
        <w:t>frutta estiva</w:t>
      </w:r>
      <w:r w:rsidRPr="00C95269">
        <w:rPr>
          <w:b/>
          <w:bCs/>
        </w:rPr>
        <w:t xml:space="preserve"> </w:t>
      </w:r>
      <w:r w:rsidRPr="00C95269">
        <w:t>che continua a registrare prezzi non remunerativi.</w:t>
      </w:r>
      <w:r w:rsidR="004C705F">
        <w:t xml:space="preserve"> </w:t>
      </w:r>
      <w:r w:rsidRPr="0088096C">
        <w:rPr>
          <w:rFonts w:cs="Arial"/>
        </w:rPr>
        <w:t xml:space="preserve">La produzione raccolta di </w:t>
      </w:r>
      <w:r w:rsidRPr="004C705F">
        <w:rPr>
          <w:rFonts w:cs="Arial"/>
          <w:b/>
        </w:rPr>
        <w:t>pesche e nettarine</w:t>
      </w:r>
      <w:r w:rsidRPr="0088096C">
        <w:rPr>
          <w:rFonts w:cs="Arial"/>
        </w:rPr>
        <w:t xml:space="preserve"> è scesa rispettivamente del 9,9 per cento e dell’1,9 per cento e le quotazioni di entrambe sono scese di oltre </w:t>
      </w:r>
      <w:r w:rsidRPr="0088096C">
        <w:t>il 30 per cento.</w:t>
      </w:r>
      <w:bookmarkStart w:id="0" w:name="_Toc437429248"/>
      <w:bookmarkStart w:id="1" w:name="_Toc26797897"/>
    </w:p>
    <w:bookmarkEnd w:id="0"/>
    <w:bookmarkEnd w:id="1"/>
    <w:p w14:paraId="36EBEA1F" w14:textId="77777777" w:rsidR="00A1173F" w:rsidRDefault="00A1173F" w:rsidP="00A1173F"/>
    <w:p w14:paraId="13817617" w14:textId="56848703" w:rsidR="00A1173F" w:rsidRPr="0088096C" w:rsidRDefault="00A1173F" w:rsidP="00A1173F">
      <w:r>
        <w:t xml:space="preserve">In crescita Grana Padano e Parmigiano Reggiano. </w:t>
      </w:r>
      <w:r w:rsidRPr="0088096C">
        <w:t xml:space="preserve">Secondo i dati del Consorzio tutela del formaggio </w:t>
      </w:r>
      <w:r w:rsidRPr="004C705F">
        <w:rPr>
          <w:b/>
        </w:rPr>
        <w:t>Grana Padano</w:t>
      </w:r>
      <w:r w:rsidRPr="0088096C">
        <w:t xml:space="preserve">, </w:t>
      </w:r>
      <w:r w:rsidRPr="00E00AE9">
        <w:rPr>
          <w:color w:val="000000" w:themeColor="text1"/>
        </w:rPr>
        <w:t xml:space="preserve">tra gennaio e </w:t>
      </w:r>
      <w:r w:rsidRPr="00E00AE9">
        <w:rPr>
          <w:rStyle w:val="nascostoCarattere"/>
          <w:color w:val="000000" w:themeColor="text1"/>
        </w:rPr>
        <w:t xml:space="preserve">novembre </w:t>
      </w:r>
      <w:r w:rsidRPr="00E00AE9">
        <w:rPr>
          <w:rStyle w:val="nascostoCarattere"/>
          <w:vanish w:val="0"/>
          <w:color w:val="000000" w:themeColor="text1"/>
        </w:rPr>
        <w:fldChar w:fldCharType="begin"/>
      </w:r>
      <w:r w:rsidRPr="00E00AE9">
        <w:rPr>
          <w:rStyle w:val="nascostoCarattere"/>
          <w:color w:val="000000" w:themeColor="text1"/>
        </w:rPr>
        <w:instrText xml:space="preserve"> DATE  \@ "yyyy"  \* MERGEFORMAT </w:instrText>
      </w:r>
      <w:r w:rsidRPr="00E00AE9">
        <w:rPr>
          <w:rStyle w:val="nascostoCarattere"/>
          <w:vanish w:val="0"/>
          <w:color w:val="000000" w:themeColor="text1"/>
        </w:rPr>
        <w:fldChar w:fldCharType="separate"/>
      </w:r>
      <w:r w:rsidRPr="00E00AE9">
        <w:rPr>
          <w:rStyle w:val="nascostoCarattere"/>
          <w:noProof/>
          <w:vanish w:val="0"/>
          <w:color w:val="000000" w:themeColor="text1"/>
        </w:rPr>
        <w:t>2019</w:t>
      </w:r>
      <w:r w:rsidRPr="00E00AE9">
        <w:rPr>
          <w:rStyle w:val="nascostoCarattere"/>
          <w:vanish w:val="0"/>
          <w:color w:val="000000" w:themeColor="text1"/>
        </w:rPr>
        <w:fldChar w:fldCharType="end"/>
      </w:r>
      <w:r w:rsidRPr="00E00AE9">
        <w:rPr>
          <w:color w:val="000000" w:themeColor="text1"/>
        </w:rPr>
        <w:t xml:space="preserve">, la </w:t>
      </w:r>
      <w:r w:rsidRPr="0088096C">
        <w:t xml:space="preserve">produzione piacentina è stata di più di 488 mila forme con un incremento del 4,1 per cento e la quotazione del Grana Padano con stagionatura di 10 mesi è salita del 25,4 per cento. </w:t>
      </w:r>
      <w:r w:rsidRPr="00055056">
        <w:t xml:space="preserve">Secondo i dati del Consorzio, tra gennaio e novembre la produzione regionale di formaggio </w:t>
      </w:r>
      <w:r w:rsidRPr="004C705F">
        <w:rPr>
          <w:b/>
        </w:rPr>
        <w:t>Parmigiano-Reggiano</w:t>
      </w:r>
      <w:r w:rsidRPr="00055056">
        <w:t xml:space="preserve"> è stata di </w:t>
      </w:r>
      <w:r>
        <w:t>oltre tre milioni di</w:t>
      </w:r>
      <w:r w:rsidRPr="00055056">
        <w:t xml:space="preserve"> forme con un incremento dello 0,7 per cento</w:t>
      </w:r>
      <w:r>
        <w:t xml:space="preserve"> e </w:t>
      </w:r>
      <w:r w:rsidRPr="0088096C">
        <w:t>le quotazioni sono salite dell’8,9 per cento rispetto allo stesso periodo dello scorso anno.</w:t>
      </w:r>
      <w:r>
        <w:t xml:space="preserve"> </w:t>
      </w:r>
      <w:r w:rsidRPr="0088096C">
        <w:t xml:space="preserve">Secondo Agea le consegne di latte in Emilia-Romagna hanno raggiunto 1.455.902 tonnellate tra gennaio e settembre </w:t>
      </w:r>
      <w:r w:rsidRPr="0088096C">
        <w:fldChar w:fldCharType="begin"/>
      </w:r>
      <w:r w:rsidRPr="0088096C">
        <w:instrText xml:space="preserve"> DATE  \@ "yyyy"  \* MERGEFORMAT </w:instrText>
      </w:r>
      <w:r w:rsidRPr="0088096C">
        <w:fldChar w:fldCharType="separate"/>
      </w:r>
      <w:r w:rsidR="00DD12D1">
        <w:rPr>
          <w:noProof/>
        </w:rPr>
        <w:t>2019</w:t>
      </w:r>
      <w:r w:rsidRPr="0088096C">
        <w:fldChar w:fldCharType="end"/>
      </w:r>
      <w:r w:rsidRPr="0088096C">
        <w:t xml:space="preserve"> (-0,4 per cento).</w:t>
      </w:r>
    </w:p>
    <w:p w14:paraId="689C0720" w14:textId="77777777" w:rsidR="00A1173F" w:rsidRPr="00A74D71" w:rsidRDefault="00A1173F" w:rsidP="000D74A5">
      <w:pPr>
        <w:pStyle w:val="Rientrocorpodeltesto3"/>
        <w:rPr>
          <w:color w:val="auto"/>
        </w:rPr>
      </w:pPr>
    </w:p>
    <w:p w14:paraId="44CA4E5C" w14:textId="77777777" w:rsidR="000D74A5" w:rsidRPr="00A74D71" w:rsidRDefault="00A1173F" w:rsidP="000D74A5">
      <w:r>
        <w:t>N</w:t>
      </w:r>
      <w:r w:rsidR="000D74A5" w:rsidRPr="0088096C">
        <w:t xml:space="preserve">el periodo da gennaio a novembre, </w:t>
      </w:r>
      <w:r w:rsidR="004C705F">
        <w:t xml:space="preserve">risultano in calo le quotazioni dei </w:t>
      </w:r>
      <w:r w:rsidR="000D74A5" w:rsidRPr="0088096C">
        <w:t xml:space="preserve">vitelli baliotti </w:t>
      </w:r>
      <w:r w:rsidR="004C705F">
        <w:t>e quelle</w:t>
      </w:r>
      <w:r w:rsidR="000D74A5" w:rsidRPr="0088096C">
        <w:t xml:space="preserve"> delle vacche da macello.</w:t>
      </w:r>
      <w:r w:rsidR="000D74A5">
        <w:t xml:space="preserve"> </w:t>
      </w:r>
      <w:r w:rsidR="000D74A5" w:rsidRPr="00A74D71">
        <w:t xml:space="preserve">Da gennaio a novembre, le quotazioni dei </w:t>
      </w:r>
      <w:r w:rsidR="000D74A5" w:rsidRPr="004C705F">
        <w:rPr>
          <w:b/>
        </w:rPr>
        <w:t xml:space="preserve">suini </w:t>
      </w:r>
      <w:r w:rsidR="000D74A5" w:rsidRPr="00A74D71">
        <w:t xml:space="preserve">grassi da macello hanno fatto registrare una flessione del 3,8 per cento, quelle dei lattonzoli hanno registrato </w:t>
      </w:r>
      <w:proofErr w:type="gramStart"/>
      <w:r w:rsidR="000D74A5" w:rsidRPr="00A74D71">
        <w:t>un flessione</w:t>
      </w:r>
      <w:proofErr w:type="gramEnd"/>
      <w:r w:rsidR="000D74A5" w:rsidRPr="00A74D71">
        <w:t xml:space="preserve"> del 9,1 per cento rispetto allo stesso periodo del 2018</w:t>
      </w:r>
      <w:r>
        <w:t xml:space="preserve">. </w:t>
      </w:r>
    </w:p>
    <w:p w14:paraId="202D034E" w14:textId="77777777" w:rsidR="000D74A5" w:rsidRPr="00A74D71" w:rsidRDefault="000D74A5" w:rsidP="000D74A5">
      <w:r w:rsidRPr="00A74D71">
        <w:t xml:space="preserve">Il prezzo medio dei </w:t>
      </w:r>
      <w:r w:rsidRPr="004C705F">
        <w:rPr>
          <w:b/>
          <w:snapToGrid w:val="0"/>
        </w:rPr>
        <w:t>polli</w:t>
      </w:r>
      <w:r w:rsidRPr="00A74D71">
        <w:t xml:space="preserve"> ha mostrato una lieve flessione (-3,4 per cento). Al contrario, le quotazioni dei </w:t>
      </w:r>
      <w:r w:rsidRPr="00A74D71">
        <w:rPr>
          <w:snapToGrid w:val="0"/>
        </w:rPr>
        <w:t>tacchini</w:t>
      </w:r>
      <w:r w:rsidRPr="00A74D71">
        <w:t xml:space="preserve"> hanno registrato un discreto aumento (+6,6 per cento). Infine, la quotazione delle uova è scesa del 21,9 per cento </w:t>
      </w:r>
    </w:p>
    <w:p w14:paraId="79E47FAE" w14:textId="7E2CF629" w:rsidR="00A33FD6" w:rsidRPr="00562C51" w:rsidRDefault="00A33FD6" w:rsidP="00D8220A">
      <w:pPr>
        <w:pStyle w:val="Titolo2"/>
      </w:pPr>
      <w:r w:rsidRPr="004F6DAE">
        <w:t>Industria in senso stretto.</w:t>
      </w:r>
      <w:r w:rsidRPr="00562C51">
        <w:t xml:space="preserve"> </w:t>
      </w:r>
    </w:p>
    <w:p w14:paraId="4E0326D4" w14:textId="77777777" w:rsidR="00D80B2A" w:rsidRDefault="00562C51" w:rsidP="001D0456">
      <w:r w:rsidRPr="00CE1DFD">
        <w:t>Dopo</w:t>
      </w:r>
      <w:r w:rsidR="00D80B2A">
        <w:t xml:space="preserve"> 16 trimestri di crescita ininterrotta, la </w:t>
      </w:r>
      <w:r w:rsidR="00D80B2A" w:rsidRPr="00FD1A1F">
        <w:rPr>
          <w:b/>
        </w:rPr>
        <w:t>produzione industriale</w:t>
      </w:r>
      <w:r w:rsidR="00D80B2A">
        <w:t xml:space="preserve"> nel 2019 segna una battuta di arresto, una flessione che ha preso avvio nel primo trimestre dell’anno per poi irrobustirsi nel corso dell’anno. Complessivamente i primi nove mesi del 2019 chiudono con un calo della produzione dell’1,1 per cento, un</w:t>
      </w:r>
      <w:r w:rsidR="00007F5A">
        <w:t>a</w:t>
      </w:r>
      <w:r w:rsidR="00D80B2A">
        <w:t xml:space="preserve"> </w:t>
      </w:r>
      <w:r w:rsidR="00007F5A">
        <w:t>frenata</w:t>
      </w:r>
      <w:r w:rsidR="00D80B2A">
        <w:t xml:space="preserve"> che ha interessato tutte le classi dimensionali e ha colpito quasi tutti i settori. A registrare il calo più consistente sono le imprese con meno di 10 addetti (-2,6 per cento), mentre le società con almeno 50 addetti contengono la perdita (-0,6 per cento).  Dal punto di vista settoriale </w:t>
      </w:r>
      <w:r w:rsidR="00482444">
        <w:t>solo l’alimentare e l’industria del legno e del mobile mostrano una variazione positiva; per la meccanica la contrazione della produzione è pari all’1,3 per cento, percentuale che si appesantisce per la lavorazione dei metalli (-2,3 per cento) e per il sistema moda (-4,7 per cento).</w:t>
      </w:r>
    </w:p>
    <w:p w14:paraId="69F56D27" w14:textId="77777777" w:rsidR="00D80B2A" w:rsidRDefault="00D80B2A" w:rsidP="001D0456"/>
    <w:p w14:paraId="07695EB8" w14:textId="77777777" w:rsidR="00562C51" w:rsidRPr="00C32B9F" w:rsidRDefault="00007F5A" w:rsidP="00562C51">
      <w:r>
        <w:t>Il</w:t>
      </w:r>
      <w:r w:rsidR="001D0456" w:rsidRPr="00C32B9F">
        <w:t xml:space="preserve"> </w:t>
      </w:r>
      <w:r w:rsidR="001D0456" w:rsidRPr="00C32B9F">
        <w:rPr>
          <w:b/>
        </w:rPr>
        <w:t>commercio con l’estero</w:t>
      </w:r>
      <w:r w:rsidR="001D0456" w:rsidRPr="00C32B9F">
        <w:t xml:space="preserve"> ha giocato un ruolo fondamentale</w:t>
      </w:r>
      <w:r>
        <w:t xml:space="preserve"> nel contenere la flessione</w:t>
      </w:r>
      <w:r w:rsidR="001D0456" w:rsidRPr="00C32B9F">
        <w:t xml:space="preserve">. </w:t>
      </w:r>
      <w:r w:rsidR="00562C51" w:rsidRPr="00C32B9F">
        <w:t>Nei primi nove mesi del 201</w:t>
      </w:r>
      <w:r w:rsidR="00032775">
        <w:t>9</w:t>
      </w:r>
      <w:r w:rsidR="00562C51" w:rsidRPr="00C32B9F">
        <w:t>, le esportazioni regionali di prodotti dell’industria manifatturiera hanno fatto segnare un aumento del 4,6 per cento, rispetto allo stesso periodo dello scorso anno</w:t>
      </w:r>
      <w:r w:rsidR="00032775">
        <w:t>, la stessa percentuale registrata l’anno passato. Molto bene i mezzi di trasporto (+11,4 per cento), buoni risultati superiori al 5 per cento per il sistema moda e per l’alimentare, variazioni di segno negativo per meccanica e per elettricità-elettronica.</w:t>
      </w:r>
    </w:p>
    <w:p w14:paraId="70635B62" w14:textId="77777777" w:rsidR="00FD1A1F" w:rsidRDefault="00FD1A1F" w:rsidP="00562C51">
      <w:pPr>
        <w:rPr>
          <w:highlight w:val="yellow"/>
        </w:rPr>
      </w:pPr>
    </w:p>
    <w:p w14:paraId="2EB5B4B1" w14:textId="77777777" w:rsidR="00562C51" w:rsidRPr="00D94682" w:rsidRDefault="00562C51" w:rsidP="00562C51">
      <w:r w:rsidRPr="00FD1A1F">
        <w:t xml:space="preserve">Le </w:t>
      </w:r>
      <w:r w:rsidRPr="00FD1A1F">
        <w:rPr>
          <w:b/>
        </w:rPr>
        <w:t>imprese attive</w:t>
      </w:r>
      <w:r w:rsidRPr="00FD1A1F">
        <w:t xml:space="preserve"> </w:t>
      </w:r>
      <w:r w:rsidR="00FD1A1F">
        <w:t>manifatturiere</w:t>
      </w:r>
      <w:r w:rsidRPr="00FD1A1F">
        <w:t xml:space="preserve"> </w:t>
      </w:r>
      <w:r w:rsidR="00FD1A1F">
        <w:t>a fine settembre 2019 risultavano poco meno di 43mila, l’1,3 per cento in meno rispetto all’anno precedente. Prosegue il calo del numero delle aziende, ampiamente compensato dalla crescita dimensionale di quelle esistenti. A giugno 2019 gli occupati nel manifatturiero erano quasi 480mila, l’1,6 per cento in più rispetto allo stesso periodo dell’anno precedente e quasi il 6 per cento in più rispetto a 5 anni prima. Nel confronto di lungo periodo si può notare anche uno spostamento del manifatturiero regionale verso attività a maggior contenuto tecnologico: nel 2019, rispetto a cinque anni prima, gli addetti nelle aziende a bassa tecnologia sono diminuiti dell’1,5 per cento, quelli in aziende high tech sono aumentati di oltre il 21 per cento.</w:t>
      </w:r>
    </w:p>
    <w:p w14:paraId="0BE1A7F8" w14:textId="1DEC844C" w:rsidR="00A33FD6" w:rsidRPr="00562C51" w:rsidRDefault="00A33FD6" w:rsidP="00D8220A">
      <w:pPr>
        <w:pStyle w:val="Titolo2"/>
      </w:pPr>
      <w:r w:rsidRPr="00007F5A">
        <w:lastRenderedPageBreak/>
        <w:t>Industria delle costruzioni.</w:t>
      </w:r>
      <w:r w:rsidRPr="00562C51">
        <w:t xml:space="preserve"> </w:t>
      </w:r>
    </w:p>
    <w:p w14:paraId="6AF59B60" w14:textId="77777777" w:rsidR="00FD1A1F" w:rsidRDefault="00562C51" w:rsidP="00FD1A1F">
      <w:r w:rsidRPr="00FB1BC3">
        <w:t xml:space="preserve">Dopo </w:t>
      </w:r>
      <w:r w:rsidR="003F3E0D">
        <w:t>la fase recessiva di inizio decennio</w:t>
      </w:r>
      <w:r w:rsidRPr="00FB1BC3">
        <w:t xml:space="preserve">, </w:t>
      </w:r>
      <w:r w:rsidR="00FD1A1F">
        <w:t xml:space="preserve">per il settore delle costruzioni </w:t>
      </w:r>
      <w:r>
        <w:t xml:space="preserve">dall’inizio del 2015 </w:t>
      </w:r>
      <w:r w:rsidRPr="00FB1BC3">
        <w:t xml:space="preserve">si sono succeduti </w:t>
      </w:r>
      <w:r>
        <w:t xml:space="preserve">quattro anni </w:t>
      </w:r>
      <w:r w:rsidR="00FD1A1F">
        <w:t>di espansione</w:t>
      </w:r>
      <w:r w:rsidRPr="00FB1BC3">
        <w:t xml:space="preserve">, anche se non privi di incertezze. </w:t>
      </w:r>
      <w:r w:rsidR="00FD1A1F">
        <w:t xml:space="preserve">I dati relativi ai primi nove mesi del 2019 confermano </w:t>
      </w:r>
      <w:r w:rsidR="00B0245A">
        <w:t xml:space="preserve">sia </w:t>
      </w:r>
      <w:r w:rsidR="00FD1A1F">
        <w:t>la tendenza po</w:t>
      </w:r>
      <w:r w:rsidR="00B0245A">
        <w:t>sitiva degli anni precedenti, seppur con diffusi segnali di rallentamento, sia le difficoltà e le incognite che caratterizzano il comparto.</w:t>
      </w:r>
    </w:p>
    <w:p w14:paraId="6B569A3F" w14:textId="77777777" w:rsidR="00562C51" w:rsidRDefault="00562C51" w:rsidP="00562C51">
      <w:r w:rsidRPr="00940B1D">
        <w:t xml:space="preserve">Il </w:t>
      </w:r>
      <w:r w:rsidRPr="0014543C">
        <w:rPr>
          <w:b/>
        </w:rPr>
        <w:t>volume d’affari</w:t>
      </w:r>
      <w:r w:rsidRPr="00940B1D">
        <w:t xml:space="preserve"> delle costruzioni, espresso a valori correnti, </w:t>
      </w:r>
      <w:r w:rsidR="00B0245A">
        <w:t>nei primi nove mesi del 2019 è aumentato dello 0,1 per cento, risultato derivato dalla flessione delle imprese più piccole (-1 per cento per le aziende con meno di 10 addetti) e la crescita di quelle più strutturate (</w:t>
      </w:r>
      <w:r w:rsidR="00777092">
        <w:t xml:space="preserve">+2,4 per cento per le società con più di 50 addetti). </w:t>
      </w:r>
    </w:p>
    <w:p w14:paraId="74686423" w14:textId="77777777" w:rsidR="00B0245A" w:rsidRDefault="00B0245A" w:rsidP="00562C51"/>
    <w:p w14:paraId="63D6794A" w14:textId="77777777" w:rsidR="00562C51" w:rsidRDefault="00562C51" w:rsidP="00562C51">
      <w:r w:rsidRPr="0095005B">
        <w:t xml:space="preserve">A </w:t>
      </w:r>
      <w:r w:rsidR="00777092">
        <w:t xml:space="preserve">fine </w:t>
      </w:r>
      <w:r w:rsidRPr="0095005B">
        <w:t xml:space="preserve">settembre le </w:t>
      </w:r>
      <w:r w:rsidRPr="0014543C">
        <w:rPr>
          <w:b/>
        </w:rPr>
        <w:t>imprese attive</w:t>
      </w:r>
      <w:r>
        <w:t xml:space="preserve"> d</w:t>
      </w:r>
      <w:r w:rsidRPr="0095005B">
        <w:t xml:space="preserve">elle costruzioni </w:t>
      </w:r>
      <w:r>
        <w:t xml:space="preserve">erano </w:t>
      </w:r>
      <w:r w:rsidR="00777092">
        <w:t xml:space="preserve">poco più di </w:t>
      </w:r>
      <w:r w:rsidRPr="0095005B">
        <w:t>65</w:t>
      </w:r>
      <w:r w:rsidR="00777092">
        <w:t>mila</w:t>
      </w:r>
      <w:r w:rsidRPr="0095005B">
        <w:t>, vale a dire 5</w:t>
      </w:r>
      <w:r w:rsidR="00777092">
        <w:t>55</w:t>
      </w:r>
      <w:r w:rsidRPr="0095005B">
        <w:t xml:space="preserve"> in meno (-0,</w:t>
      </w:r>
      <w:r w:rsidR="00777092">
        <w:t>8</w:t>
      </w:r>
      <w:r w:rsidRPr="0095005B">
        <w:t xml:space="preserve"> per cento) rispetto allo stes</w:t>
      </w:r>
      <w:r w:rsidR="00777092">
        <w:t>so periodo dell’anno precedente</w:t>
      </w:r>
      <w:r w:rsidRPr="0095005B">
        <w:t>.</w:t>
      </w:r>
      <w:r w:rsidR="00777092">
        <w:t xml:space="preserve"> La flessione della struttura produttiva non si è tradotta in un calo dell’occupazione, anzi nell’ultimo anno (giugno 2019 rispetto a giugno 2018) il numero degli addetti nel comparto delle costruzioni è cresciuto di quasi 2mila unit</w:t>
      </w:r>
      <w:r w:rsidR="00A8594A">
        <w:t>à</w:t>
      </w:r>
      <w:r w:rsidR="00777092">
        <w:t xml:space="preserve"> (</w:t>
      </w:r>
      <w:r w:rsidR="00A8594A">
        <w:t>+0,8 per cento).</w:t>
      </w:r>
    </w:p>
    <w:p w14:paraId="35F7FF59" w14:textId="159C25C3" w:rsidR="00A33FD6" w:rsidRPr="00B619D2" w:rsidRDefault="00D8220A" w:rsidP="00D8220A">
      <w:pPr>
        <w:pStyle w:val="Titolo2"/>
      </w:pPr>
      <w:r w:rsidRPr="00007F5A">
        <w:t>C</w:t>
      </w:r>
      <w:r w:rsidR="00A33FD6" w:rsidRPr="00007F5A">
        <w:t>ommercio interno</w:t>
      </w:r>
    </w:p>
    <w:p w14:paraId="060BCFA7" w14:textId="77777777" w:rsidR="00B619D2" w:rsidRDefault="00B619D2" w:rsidP="00B619D2">
      <w:r>
        <w:t>Al 30 settembre 201</w:t>
      </w:r>
      <w:r w:rsidR="00A8594A">
        <w:t>9</w:t>
      </w:r>
      <w:r>
        <w:t xml:space="preserve"> le imprese attive nel settore del </w:t>
      </w:r>
      <w:r w:rsidRPr="0014543C">
        <w:rPr>
          <w:b/>
        </w:rPr>
        <w:t>commercio interno</w:t>
      </w:r>
      <w:r>
        <w:t xml:space="preserve"> (al netto dell’alloggio e della ristorazione) erano </w:t>
      </w:r>
      <w:r w:rsidR="00A8594A">
        <w:t>89.468</w:t>
      </w:r>
      <w:r w:rsidR="00A521F6">
        <w:t xml:space="preserve"> per un’occupazione di poco superiore alle</w:t>
      </w:r>
      <w:r w:rsidR="00A8594A">
        <w:t xml:space="preserve"> 29</w:t>
      </w:r>
      <w:r w:rsidR="00A521F6">
        <w:t>0</w:t>
      </w:r>
      <w:r>
        <w:t xml:space="preserve">mila unità. Il comparto </w:t>
      </w:r>
      <w:r w:rsidRPr="0014543C">
        <w:rPr>
          <w:b/>
        </w:rPr>
        <w:t>dell’alloggio e della ristorazione</w:t>
      </w:r>
      <w:r>
        <w:t xml:space="preserve"> conta più di 30mila imprese con </w:t>
      </w:r>
      <w:r w:rsidR="00A521F6">
        <w:t>circa 195</w:t>
      </w:r>
      <w:r>
        <w:t xml:space="preserve">mila addetti. </w:t>
      </w:r>
      <w:r w:rsidR="00A521F6">
        <w:t>N</w:t>
      </w:r>
      <w:r>
        <w:t>el suo complesso, il settore vale il 30 per cento del totale delle imprese della regione e il 2</w:t>
      </w:r>
      <w:r w:rsidR="00A521F6">
        <w:t>8</w:t>
      </w:r>
      <w:r>
        <w:t xml:space="preserve"> per cento dell’occupazione.</w:t>
      </w:r>
    </w:p>
    <w:p w14:paraId="0E29F6BD" w14:textId="77777777" w:rsidR="009415A4" w:rsidRDefault="00B619D2" w:rsidP="00B619D2">
      <w:r>
        <w:t>Commercio e ristorazione presentano dinamiche differenti, il commercio nell’ultimo anno</w:t>
      </w:r>
      <w:r w:rsidR="00A521F6">
        <w:t>, in linea con la tendenza degli anni passati,</w:t>
      </w:r>
      <w:r>
        <w:t xml:space="preserve"> ha visto ridursi la base imprenditoriale</w:t>
      </w:r>
      <w:r w:rsidR="00A521F6">
        <w:t xml:space="preserve"> (-1,9 per cento)</w:t>
      </w:r>
      <w:r>
        <w:t xml:space="preserve"> a fronte di una sostanziale tenuta dell’occupazione</w:t>
      </w:r>
      <w:r w:rsidR="00A521F6">
        <w:t xml:space="preserve"> (+0,4 per cento)</w:t>
      </w:r>
      <w:r>
        <w:t xml:space="preserve">. </w:t>
      </w:r>
      <w:r w:rsidR="00A521F6">
        <w:t xml:space="preserve">Il commercio all’ingrosso </w:t>
      </w:r>
      <w:r w:rsidR="00007F5A">
        <w:t xml:space="preserve">ha </w:t>
      </w:r>
      <w:r w:rsidR="00A521F6">
        <w:t>registra</w:t>
      </w:r>
      <w:r w:rsidR="00007F5A">
        <w:t>to</w:t>
      </w:r>
      <w:r w:rsidR="00A521F6">
        <w:t xml:space="preserve"> una crescita occupazionale dell’1,9 per</w:t>
      </w:r>
      <w:r w:rsidR="00007F5A">
        <w:t xml:space="preserve"> cento, quello al dettaglio ha visto</w:t>
      </w:r>
      <w:r w:rsidR="00A521F6">
        <w:t xml:space="preserve"> il numero degli addetti diminuire dell1,1 per cento. </w:t>
      </w:r>
      <w:r w:rsidR="009415A4">
        <w:t xml:space="preserve">Nei primi nove mesi del 2019 il settore dell’alloggio </w:t>
      </w:r>
      <w:r w:rsidR="00007F5A">
        <w:t xml:space="preserve">ha </w:t>
      </w:r>
      <w:r w:rsidR="009415A4">
        <w:t>evidenzia</w:t>
      </w:r>
      <w:r w:rsidR="00007F5A">
        <w:t>to</w:t>
      </w:r>
      <w:r w:rsidR="009415A4">
        <w:t xml:space="preserve"> una crescita del numero delle aziende (+3 per cento) e una leggera flessione dell’occupazione (-0,5 per cento). Andamento opposto per la ristorazione che </w:t>
      </w:r>
      <w:r w:rsidR="00007F5A">
        <w:t>ha perso</w:t>
      </w:r>
      <w:r w:rsidR="009415A4">
        <w:t xml:space="preserve"> qualche locale (-0,5 per cento) ma </w:t>
      </w:r>
      <w:r w:rsidR="00007F5A">
        <w:t xml:space="preserve">ha </w:t>
      </w:r>
      <w:r w:rsidR="009415A4">
        <w:t>incrementa</w:t>
      </w:r>
      <w:r w:rsidR="00007F5A">
        <w:t>to</w:t>
      </w:r>
      <w:r w:rsidR="009415A4">
        <w:t xml:space="preserve"> gli addetti (+3,4 per cento)</w:t>
      </w:r>
    </w:p>
    <w:p w14:paraId="7AEB658E" w14:textId="77777777" w:rsidR="009415A4" w:rsidRDefault="009415A4" w:rsidP="00B619D2"/>
    <w:p w14:paraId="33A401EE" w14:textId="77777777" w:rsidR="00B619D2" w:rsidRDefault="00B619D2" w:rsidP="00B619D2">
      <w:r>
        <w:t xml:space="preserve">I </w:t>
      </w:r>
      <w:r w:rsidRPr="0014543C">
        <w:rPr>
          <w:b/>
        </w:rPr>
        <w:t>dati congiunturali</w:t>
      </w:r>
      <w:r>
        <w:t xml:space="preserve"> confermano</w:t>
      </w:r>
      <w:r w:rsidR="00C23D09">
        <w:t xml:space="preserve"> </w:t>
      </w:r>
      <w:r w:rsidR="00007F5A">
        <w:t>le difficoltà</w:t>
      </w:r>
      <w:r>
        <w:t xml:space="preserve"> che caratterizza</w:t>
      </w:r>
      <w:r w:rsidR="00007F5A">
        <w:t>no</w:t>
      </w:r>
      <w:r>
        <w:t xml:space="preserve"> il settore</w:t>
      </w:r>
      <w:r w:rsidR="006225A6">
        <w:t xml:space="preserve"> del commercio</w:t>
      </w:r>
      <w:r>
        <w:t xml:space="preserve"> da </w:t>
      </w:r>
      <w:r w:rsidR="00C23D09">
        <w:t>oltre</w:t>
      </w:r>
      <w:r>
        <w:t xml:space="preserve"> un decennio. Nei primi nove mesi del 201</w:t>
      </w:r>
      <w:r w:rsidR="00C23D09">
        <w:t>9</w:t>
      </w:r>
      <w:r>
        <w:t xml:space="preserve"> le</w:t>
      </w:r>
      <w:r w:rsidR="00C23D09">
        <w:t xml:space="preserve"> vendite sono diminuite dello 0,9</w:t>
      </w:r>
      <w:r>
        <w:t xml:space="preserve"> per cento, con una dinamica</w:t>
      </w:r>
      <w:r w:rsidR="00C23D09">
        <w:t xml:space="preserve"> negativa</w:t>
      </w:r>
      <w:r>
        <w:t xml:space="preserve"> che è andata </w:t>
      </w:r>
      <w:r w:rsidR="00C23D09">
        <w:t>attenuandosi</w:t>
      </w:r>
      <w:r>
        <w:t xml:space="preserve"> negli ultimi trimestri.</w:t>
      </w:r>
      <w:r w:rsidR="00C23D09">
        <w:t xml:space="preserve"> </w:t>
      </w:r>
      <w:r w:rsidR="00007F5A">
        <w:t>Maggiormente penalizzato</w:t>
      </w:r>
      <w:r w:rsidR="00C23D09">
        <w:t xml:space="preserve"> chi commercializza abbigliamento e accessori (-2,9 per cento), calo dello 0,6 per cento per gli esercizi che trattano prodotti per la casa ed elettrodomestici, flessione dello 0,8 per cento per chi ve</w:t>
      </w:r>
      <w:r w:rsidR="00007F5A">
        <w:t>n</w:t>
      </w:r>
      <w:r w:rsidR="00C23D09">
        <w:t>de prodotti alimentari. In ripresa, seppur lentamente (+0,3 per cento), iper, supermercati e grandi magazzini.</w:t>
      </w:r>
    </w:p>
    <w:p w14:paraId="35EADF5A" w14:textId="22616EA0" w:rsidR="00A33FD6" w:rsidRPr="00503C1B" w:rsidRDefault="00A33FD6" w:rsidP="00D8220A">
      <w:pPr>
        <w:pStyle w:val="Titolo2"/>
      </w:pPr>
      <w:r w:rsidRPr="00007F5A">
        <w:t>Commercio estero.</w:t>
      </w:r>
      <w:r w:rsidRPr="00503C1B">
        <w:t xml:space="preserve"> </w:t>
      </w:r>
    </w:p>
    <w:p w14:paraId="0E875C03" w14:textId="77777777" w:rsidR="00503C1B" w:rsidRDefault="00A33FD6" w:rsidP="00F10511">
      <w:r w:rsidRPr="00503C1B">
        <w:t>Nel corso dei primi nove mesi del 201</w:t>
      </w:r>
      <w:r w:rsidR="00F10511">
        <w:t>9</w:t>
      </w:r>
      <w:r w:rsidRPr="00503C1B">
        <w:t xml:space="preserve"> le esportazioni </w:t>
      </w:r>
      <w:r w:rsidR="00F10511">
        <w:t>dell’Emilia-Romagna hanno superato i 49 miliardi di euro, consolidando la seconda posizione nella graduatoria delle regioni esportatrici, alle spalle della sola Lombardia. Per l’Emilia-Romagna la crescita nel 2019 rispetto all’anno precedente è stata pari al 4,8 per cento, variazione superiore al dato nazionale (+2,5) così come a quello di Lombardia (+0,4 per ce</w:t>
      </w:r>
      <w:r w:rsidR="006A6969">
        <w:t>nto) e Veneto (+1,1 per cento),</w:t>
      </w:r>
    </w:p>
    <w:p w14:paraId="79E18A2C" w14:textId="77777777" w:rsidR="006A6969" w:rsidRDefault="006A6969" w:rsidP="006A6969">
      <w:r>
        <w:t xml:space="preserve">Il rallentamento del mercato mondiale inizia a leggersi nel commercio estero dell’Emilia-Romagna di prodotti della meccanica che, con quasi il 28 per cento sul totale, rappresentano la principale voce del nostro portafoglio export. Nei primi nove mesi del 2019 l’export di prodotti meccanici è diminuito dello 0,6 per cento, quello dei prodotti elettrici e dell’elettronica ha registrato una flessione del 2,1 per cento. Al contrario, crescono in misura considerevole le esportazioni di prodotti dei mezzi di trasporto, +11,4 per cento. In espansione l’agroalimentare e il sistema moda, in leggero calo la ceramica. </w:t>
      </w:r>
    </w:p>
    <w:p w14:paraId="5C7EA4D5" w14:textId="77777777" w:rsidR="006A6969" w:rsidRDefault="006A6969" w:rsidP="006A6969">
      <w:r>
        <w:t>La Germania si conferma il principale partner delle imprese dell’Emilia-Romagna. Il mercato tedesco accoglie oltre il 12 per cento delle produzioni regionali, nei primi nove mesi del 2019 le esportazioni sono risultate in crescita dell’1,9 per cento. Al secondo posto si colloca la Francia, in crescita del 2,8 per cento, al terzo gli Stati Uniti (+6,2 per cento). Bene anche il Regno Unito in aumento di quasi il 9 per cento.</w:t>
      </w:r>
    </w:p>
    <w:p w14:paraId="01865A1F" w14:textId="0EDDC03A" w:rsidR="00A33FD6" w:rsidRPr="00562C51" w:rsidRDefault="00334C28" w:rsidP="00D8220A">
      <w:pPr>
        <w:pStyle w:val="Titolo2"/>
      </w:pPr>
      <w:r w:rsidRPr="00007F5A">
        <w:lastRenderedPageBreak/>
        <w:t>T</w:t>
      </w:r>
      <w:r w:rsidR="00A33FD6" w:rsidRPr="00007F5A">
        <w:t>urismo.</w:t>
      </w:r>
      <w:r w:rsidR="00A33FD6" w:rsidRPr="00562C51">
        <w:t xml:space="preserve"> </w:t>
      </w:r>
    </w:p>
    <w:p w14:paraId="1A3C0977" w14:textId="77777777" w:rsidR="0084462C" w:rsidRDefault="0084462C" w:rsidP="0084462C">
      <w:r>
        <w:t>Il movimento turistico nelle strutture ricettive alberghiere ed extralberghiere dell’Emilia-Romagna viene rilevato dall’Osservatorio Turistico Regionale realizzato congiuntamente dalla Regione Emilia-Romagna e da Unioncamere Emilia-Romagna, in collaborazione con Trademark Italia. La metodologia prevede la rivalutazione periodica delle statistiche ufficiali realizzata utilizzando un panel di operatori e riscontri indiretti delle presenze (uscite ai caselli autostradali, arrivi aeroportuali, movimenti ferroviari, ecc).</w:t>
      </w:r>
    </w:p>
    <w:p w14:paraId="0C43E889" w14:textId="77777777" w:rsidR="0084462C" w:rsidRDefault="0084462C" w:rsidP="0084462C">
      <w:r>
        <w:t xml:space="preserve">L’industria turistica regionale chiude i primi dieci mesi del 2019 superando i 57,4 milioni di presenze turistiche, in aumento del 1,8 per cento rispetto ai 56,3 milioni registrati nel 2018. Gli arrivi turistici salgono a 12,8 milioni, con una crescita del 3 per cento rispetto ai 12,4 milioni del 2018. Tutti i comparti turistici della regione (Riviera, Città d’Arte e d’Affari, Montagna appenninica ed Altre località) registrano una performance sostanzialmente positiva sia degli arrivi, sia delle presenze. </w:t>
      </w:r>
    </w:p>
    <w:p w14:paraId="243C87A1" w14:textId="77777777" w:rsidR="0084462C" w:rsidRDefault="0084462C" w:rsidP="0084462C">
      <w:r>
        <w:t>I tassi di crescita più elevati si registrano per le presenze nelle città d’arte (+6,2 per cento) e nell’Appennino (+6,4 per cento), la riviera, che accoglie quasi tre quarti delle presenze complessive, aumenta le presenze turistiche dello 0,6 per cento.</w:t>
      </w:r>
    </w:p>
    <w:p w14:paraId="412C01FE" w14:textId="77777777" w:rsidR="0084462C" w:rsidRDefault="0084462C" w:rsidP="0084462C">
      <w:r>
        <w:t>Per quanto riguarda la rilevazione delle provenienze del movimento turistico, il saldo positivo rispetto allo stesso periodo del 2018 è prodotto dalla crescita sia della clientela nazionale (+3 per cento degli arrivi e +1,6 per cento delle presenze), sia di quella internazionale (+3,2 per cento di arrivi e +2,3 per cento di presenze).</w:t>
      </w:r>
    </w:p>
    <w:p w14:paraId="50554EF1" w14:textId="6C242B36" w:rsidR="00A33FD6" w:rsidRPr="00562C51" w:rsidRDefault="00A33FD6" w:rsidP="00D8220A">
      <w:pPr>
        <w:pStyle w:val="Titolo2"/>
      </w:pPr>
      <w:r w:rsidRPr="002E785B">
        <w:t>Trasporti.</w:t>
      </w:r>
      <w:r w:rsidRPr="00562C51">
        <w:t xml:space="preserve"> </w:t>
      </w:r>
    </w:p>
    <w:p w14:paraId="73C257A7" w14:textId="77777777" w:rsidR="007F767A" w:rsidRPr="009B05AE" w:rsidRDefault="007F767A" w:rsidP="007F767A">
      <w:pPr>
        <w:rPr>
          <w:rFonts w:cs="Arial"/>
        </w:rPr>
      </w:pPr>
      <w:r>
        <w:rPr>
          <w:rFonts w:cs="Arial"/>
        </w:rPr>
        <w:t xml:space="preserve">La </w:t>
      </w:r>
      <w:r w:rsidRPr="009B05AE">
        <w:rPr>
          <w:rFonts w:cs="Arial"/>
        </w:rPr>
        <w:t>consistenza delle imprese attive nel settore dei trasporti e magazzinaggio a settembre 201</w:t>
      </w:r>
      <w:r>
        <w:rPr>
          <w:rFonts w:cs="Arial"/>
        </w:rPr>
        <w:t>9</w:t>
      </w:r>
      <w:r w:rsidRPr="009B05AE">
        <w:rPr>
          <w:rFonts w:cs="Arial"/>
        </w:rPr>
        <w:t xml:space="preserve"> è apparsa in diminuzione rispetto allo stesso periodo dell’anno passato sia in Emilia-Romagna</w:t>
      </w:r>
      <w:r>
        <w:rPr>
          <w:rFonts w:cs="Arial"/>
        </w:rPr>
        <w:t xml:space="preserve"> (-2</w:t>
      </w:r>
      <w:r w:rsidRPr="009B05AE">
        <w:rPr>
          <w:rFonts w:cs="Arial"/>
        </w:rPr>
        <w:t>,2 per cento) sia a livello nazionale (-0,</w:t>
      </w:r>
      <w:r>
        <w:rPr>
          <w:rFonts w:cs="Arial"/>
        </w:rPr>
        <w:t xml:space="preserve">8 per cento). Come evidenziato per altri settori, alla flessione del numero delle imprese si contrappone </w:t>
      </w:r>
      <w:r w:rsidRPr="009B05AE">
        <w:rPr>
          <w:rFonts w:cs="Arial"/>
        </w:rPr>
        <w:t xml:space="preserve">un buon aumento degli occupati sia a livello nazionale </w:t>
      </w:r>
      <w:r>
        <w:rPr>
          <w:rFonts w:cs="Arial"/>
        </w:rPr>
        <w:t xml:space="preserve">(+2,2 per cento) </w:t>
      </w:r>
      <w:r w:rsidRPr="009B05AE">
        <w:rPr>
          <w:rFonts w:cs="Arial"/>
        </w:rPr>
        <w:t>che regionale (</w:t>
      </w:r>
      <w:r>
        <w:rPr>
          <w:rFonts w:cs="Arial"/>
        </w:rPr>
        <w:t xml:space="preserve">+3,3 </w:t>
      </w:r>
      <w:r w:rsidRPr="009B05AE">
        <w:rPr>
          <w:rFonts w:cs="Arial"/>
        </w:rPr>
        <w:t>per cento).</w:t>
      </w:r>
    </w:p>
    <w:p w14:paraId="01A99549" w14:textId="77777777" w:rsidR="007F767A" w:rsidRDefault="007F767A" w:rsidP="007F767A"/>
    <w:p w14:paraId="61D0CF7C" w14:textId="77777777" w:rsidR="007F767A" w:rsidRPr="009B05AE" w:rsidRDefault="007F767A" w:rsidP="007F767A">
      <w:r w:rsidRPr="009B05AE">
        <w:t xml:space="preserve">La parte di gran lunga più consistente del trasporto marittimo dell’Emilia-Romagna si svolge attraverso il porto di Ravenna. </w:t>
      </w:r>
      <w:r w:rsidRPr="004D5CD0">
        <w:t>Secondo i dati Istat, (</w:t>
      </w:r>
      <w:r>
        <w:t xml:space="preserve">il cui </w:t>
      </w:r>
      <w:r w:rsidRPr="004D5CD0">
        <w:t xml:space="preserve">ultimo aggiornamento disponibile </w:t>
      </w:r>
      <w:r>
        <w:t xml:space="preserve">è al </w:t>
      </w:r>
      <w:r w:rsidRPr="004D5CD0">
        <w:t>201</w:t>
      </w:r>
      <w:r>
        <w:t>7</w:t>
      </w:r>
      <w:r w:rsidRPr="004D5CD0">
        <w:t xml:space="preserve">) lo scalo portuale ravennate ha rappresentato il </w:t>
      </w:r>
      <w:r>
        <w:t>6,1</w:t>
      </w:r>
      <w:r w:rsidRPr="004D5CD0">
        <w:t xml:space="preserve"> per cento del movimento merci portual</w:t>
      </w:r>
      <w:r>
        <w:t>e italiano, occupando il terzo</w:t>
      </w:r>
      <w:r w:rsidRPr="004D5CD0">
        <w:t xml:space="preserve"> posto sui </w:t>
      </w:r>
      <w:r>
        <w:t>quarantatré</w:t>
      </w:r>
      <w:r w:rsidRPr="004D5CD0">
        <w:t xml:space="preserve"> porti italiani censiti, preceduto da Trieste</w:t>
      </w:r>
      <w:r>
        <w:t xml:space="preserve"> e</w:t>
      </w:r>
      <w:r w:rsidRPr="004D5CD0">
        <w:t xml:space="preserve"> Genova</w:t>
      </w:r>
      <w:r>
        <w:t xml:space="preserve"> </w:t>
      </w:r>
      <w:r w:rsidRPr="004D5CD0">
        <w:t xml:space="preserve">e seguito da </w:t>
      </w:r>
      <w:r>
        <w:t>Livorno e Venezia</w:t>
      </w:r>
      <w:r w:rsidRPr="004D5CD0">
        <w:t>.</w:t>
      </w:r>
    </w:p>
    <w:p w14:paraId="22B4AA35" w14:textId="77777777" w:rsidR="007F767A" w:rsidRPr="009B05AE" w:rsidRDefault="007F767A" w:rsidP="007F767A">
      <w:r w:rsidRPr="009B05AE">
        <w:t>Secondo i dati divulgati dall’Autorità portuale ravennate, nei primi dieci mesi del 201</w:t>
      </w:r>
      <w:r>
        <w:t>9</w:t>
      </w:r>
      <w:r w:rsidRPr="009B05AE">
        <w:t xml:space="preserve"> il mov</w:t>
      </w:r>
      <w:r>
        <w:t>imento merci è ammontato a oltre 22 milioni e 47</w:t>
      </w:r>
      <w:r w:rsidRPr="009B05AE">
        <w:t xml:space="preserve"> mila tonnellate, vale a dire un valore leggermente</w:t>
      </w:r>
      <w:r>
        <w:t xml:space="preserve"> inferiore a quello registrato l’anno passato (-0,3 per cento). </w:t>
      </w:r>
      <w:r w:rsidRPr="009B05AE">
        <w:t xml:space="preserve">Questo risultato è il saldo di andamenti differenziati registrati </w:t>
      </w:r>
      <w:r>
        <w:t>dalle diverse tipologie di merci</w:t>
      </w:r>
      <w:r w:rsidRPr="009B05AE">
        <w:t xml:space="preserve"> che transitano per il porto di Ravenna. </w:t>
      </w:r>
    </w:p>
    <w:p w14:paraId="07F27040" w14:textId="77777777" w:rsidR="007F767A" w:rsidRDefault="007F767A" w:rsidP="007F767A"/>
    <w:p w14:paraId="7AC8F52E" w14:textId="77777777" w:rsidR="007F767A" w:rsidRPr="009B05AE" w:rsidRDefault="007F767A" w:rsidP="007F767A">
      <w:r>
        <w:t>Relativamente ai trasporti aerei, nei primi 10 mesi del 2019</w:t>
      </w:r>
      <w:r w:rsidRPr="009B05AE">
        <w:t xml:space="preserve"> il sistema aeroportuale </w:t>
      </w:r>
      <w:r>
        <w:t xml:space="preserve">emiliano-romagnolo </w:t>
      </w:r>
      <w:r w:rsidRPr="009B05AE">
        <w:t xml:space="preserve">ha mostrato un andamento </w:t>
      </w:r>
      <w:r>
        <w:t>molto positivo (+11,5 per cento di passeggeri per un valore assoluto superiore agli 8,4 milioni), superiore al già buon andamento nazionale (+4,1 per cento). Tale situazione deriva dal comporsi di diversi andamenti dei tre aeroporti attivi al momento in regione. Bologna combina una dinamica molto vivace (+11,0 per cento) a valori assoluti importanti (quasi 8 milioni di passeggeri). Rimini registra una spiccata tendenza all’aumento (+25,6 per cento di passeggeri) pur con valori assoluti ancora contenuti (quasi 367.000). Parma, invece, riporta una contrazione dei passeggeri (-5,1 per cento) e valori assoluti contenuti (67.000 passeggeri).</w:t>
      </w:r>
      <w:r w:rsidRPr="009B05AE">
        <w:t xml:space="preserve"> </w:t>
      </w:r>
    </w:p>
    <w:p w14:paraId="0A72CCD1" w14:textId="77777777" w:rsidR="007F767A" w:rsidRDefault="007F767A" w:rsidP="00562C51">
      <w:pPr>
        <w:rPr>
          <w:rFonts w:cs="Arial"/>
        </w:rPr>
      </w:pPr>
    </w:p>
    <w:p w14:paraId="71281F00" w14:textId="429AB505" w:rsidR="00A33FD6" w:rsidRPr="00562C51" w:rsidRDefault="00A33FD6" w:rsidP="00D8220A">
      <w:pPr>
        <w:pStyle w:val="Titolo2"/>
      </w:pPr>
      <w:r w:rsidRPr="002E785B">
        <w:t>Credito.</w:t>
      </w:r>
      <w:r w:rsidRPr="00562C51">
        <w:t xml:space="preserve"> </w:t>
      </w:r>
    </w:p>
    <w:p w14:paraId="2B3A423B" w14:textId="77777777" w:rsidR="002F3F01" w:rsidRDefault="00724ABC" w:rsidP="002F3F01">
      <w:r w:rsidRPr="00D34DBA">
        <w:rPr>
          <w:rFonts w:cs="Arial"/>
        </w:rPr>
        <w:t>Secondo i dati provvisori forniti dalla Banca d’Italia, la consistenza dei prestiti bancari concessi al complesso dell’economia regionale a fine settembre 2019 risulta</w:t>
      </w:r>
      <w:r w:rsidR="002E785B">
        <w:rPr>
          <w:rFonts w:cs="Arial"/>
        </w:rPr>
        <w:t>va</w:t>
      </w:r>
      <w:r w:rsidRPr="00D34DBA">
        <w:rPr>
          <w:rFonts w:cs="Arial"/>
        </w:rPr>
        <w:t xml:space="preserve"> in espansione dello 0,7 per cento rispetto allo stesso periodo dell’anno precedente. Dal punto di vista settoriale, continua l’espansione </w:t>
      </w:r>
      <w:r>
        <w:rPr>
          <w:rFonts w:cs="Arial"/>
        </w:rPr>
        <w:t>del credito</w:t>
      </w:r>
      <w:r w:rsidRPr="00D34DBA">
        <w:rPr>
          <w:rFonts w:cs="Arial"/>
        </w:rPr>
        <w:t xml:space="preserve"> concess</w:t>
      </w:r>
      <w:r>
        <w:rPr>
          <w:rFonts w:cs="Arial"/>
        </w:rPr>
        <w:t>o</w:t>
      </w:r>
      <w:r w:rsidRPr="00D34DBA">
        <w:rPr>
          <w:rFonts w:cs="Arial"/>
        </w:rPr>
        <w:t xml:space="preserve"> alle famiglie consumatrici (+3,4 per cento) mentre si registra una contrazione d</w:t>
      </w:r>
      <w:r>
        <w:rPr>
          <w:rFonts w:cs="Arial"/>
        </w:rPr>
        <w:t>i quello accordato</w:t>
      </w:r>
      <w:r w:rsidRPr="00D34DBA">
        <w:rPr>
          <w:rFonts w:cs="Arial"/>
        </w:rPr>
        <w:t xml:space="preserve"> alle famiglie produttrici (-2,3 per cento). Per il settore delle imprese si nota una contrapposizione netta tra gli andamenti </w:t>
      </w:r>
      <w:r w:rsidR="002F3F01">
        <w:rPr>
          <w:rFonts w:cs="Arial"/>
        </w:rPr>
        <w:t>delle</w:t>
      </w:r>
      <w:r w:rsidRPr="00D34DBA">
        <w:rPr>
          <w:rFonts w:cs="Arial"/>
        </w:rPr>
        <w:t xml:space="preserve"> medio grandi (+0,5 per cento) e quelle piccole (-3,1 per </w:t>
      </w:r>
      <w:r w:rsidRPr="00D34DBA">
        <w:rPr>
          <w:rFonts w:cs="Arial"/>
        </w:rPr>
        <w:lastRenderedPageBreak/>
        <w:t>cento</w:t>
      </w:r>
      <w:proofErr w:type="gramStart"/>
      <w:r w:rsidRPr="00D34DBA">
        <w:rPr>
          <w:rFonts w:cs="Arial"/>
        </w:rPr>
        <w:t>).</w:t>
      </w:r>
      <w:r w:rsidR="002F3F01" w:rsidRPr="003A5B94">
        <w:rPr>
          <w:rFonts w:cs="Arial"/>
        </w:rPr>
        <w:t>Per</w:t>
      </w:r>
      <w:proofErr w:type="gramEnd"/>
      <w:r w:rsidR="002F3F01" w:rsidRPr="003A5B94">
        <w:rPr>
          <w:rFonts w:cs="Arial"/>
        </w:rPr>
        <w:t xml:space="preserve"> quel che riguarda la qualità del credito, nei primi nove mesi del 2019 è proseguito il graduale miglioramento del credito erogato all’economia regionale.</w:t>
      </w:r>
    </w:p>
    <w:p w14:paraId="750B9564" w14:textId="77777777" w:rsidR="002F3F01" w:rsidRDefault="00724ABC" w:rsidP="00724ABC">
      <w:pPr>
        <w:rPr>
          <w:rFonts w:cs="Arial"/>
        </w:rPr>
      </w:pPr>
      <w:r>
        <w:rPr>
          <w:rFonts w:cs="Arial"/>
        </w:rPr>
        <w:t xml:space="preserve">I rapporti tra banca ed impresa in Emilia-Romagna sono tradizionalmente oggetto di analisi dall’Osservatorio sul credito che Unioncamere Emilia-Romagna e le Camere di commercio attive in regione realizzano congiuntamente dal 2009. </w:t>
      </w:r>
    </w:p>
    <w:p w14:paraId="586F13DD" w14:textId="77777777" w:rsidR="00724ABC" w:rsidRDefault="00724ABC" w:rsidP="00724ABC">
      <w:pPr>
        <w:rPr>
          <w:rFonts w:cs="Arial"/>
        </w:rPr>
      </w:pPr>
      <w:r>
        <w:rPr>
          <w:rFonts w:cs="Arial"/>
        </w:rPr>
        <w:t xml:space="preserve">La lenta marcia verso il miglioramento sembra essersi </w:t>
      </w:r>
      <w:r w:rsidR="002F3F01">
        <w:rPr>
          <w:rFonts w:cs="Arial"/>
        </w:rPr>
        <w:t>fermata</w:t>
      </w:r>
      <w:r>
        <w:rPr>
          <w:rFonts w:cs="Arial"/>
        </w:rPr>
        <w:t xml:space="preserve"> nel primo semestre 2019. </w:t>
      </w:r>
      <w:r>
        <w:t>In particolare, la battuta d’arresto appare più evidente per quel che riguarda i parametri di costo del finanziamento</w:t>
      </w:r>
      <w:r w:rsidR="002F3F01">
        <w:t>.</w:t>
      </w:r>
      <w:r>
        <w:t xml:space="preserve"> Il livello di soddisfazione risulta in particolare contrazione nei confronti de</w:t>
      </w:r>
      <w:r w:rsidR="002F3F01">
        <w:t>l costo complessivo del credito e relativamente alla</w:t>
      </w:r>
      <w:r>
        <w:t xml:space="preserve"> soddisfazione rispetto alle garanzie richieste</w:t>
      </w:r>
      <w:r>
        <w:rPr>
          <w:rFonts w:cs="Arial"/>
        </w:rPr>
        <w:t>.</w:t>
      </w:r>
      <w:r w:rsidR="002F3F01">
        <w:rPr>
          <w:rFonts w:cs="Arial"/>
        </w:rPr>
        <w:t xml:space="preserve"> </w:t>
      </w:r>
      <w:r>
        <w:rPr>
          <w:rFonts w:cs="Arial"/>
        </w:rPr>
        <w:t xml:space="preserve">In termini settoriali, i comparti che riportano una situazione migliore rispetto alla media sono meccanica e alimentare moda mentre quelli che riportano una situazione meno favorevole sono le costruzioni e il commercio. </w:t>
      </w:r>
    </w:p>
    <w:p w14:paraId="6CE28880" w14:textId="045E1441" w:rsidR="00A33FD6" w:rsidRPr="00562C51" w:rsidRDefault="00A33FD6" w:rsidP="00D8220A">
      <w:pPr>
        <w:pStyle w:val="Titolo2"/>
      </w:pPr>
      <w:r w:rsidRPr="002E785B">
        <w:t>Artigianato</w:t>
      </w:r>
    </w:p>
    <w:p w14:paraId="499B78E1" w14:textId="77777777" w:rsidR="00E96537" w:rsidRPr="00E96537" w:rsidRDefault="00E96537" w:rsidP="00E96537">
      <w:pPr>
        <w:rPr>
          <w:rFonts w:cs="Arial"/>
          <w:color w:val="000000" w:themeColor="text1"/>
        </w:rPr>
      </w:pPr>
      <w:r w:rsidRPr="00E33455">
        <w:rPr>
          <w:rFonts w:cs="Arial"/>
        </w:rPr>
        <w:t xml:space="preserve">La base imprenditoriale dell’artigianato dell’Emilia-Romagna consisteva a fine settembre 2019 di </w:t>
      </w:r>
      <w:r w:rsidR="00AB0658">
        <w:rPr>
          <w:rFonts w:cs="Arial"/>
        </w:rPr>
        <w:t>quasi 126mila</w:t>
      </w:r>
      <w:r w:rsidRPr="00E33455">
        <w:rPr>
          <w:rFonts w:cs="Arial"/>
        </w:rPr>
        <w:t xml:space="preserve"> imprese attive, vale a dire -1,3 per cento rispetto allo stesso mese dell’anno precedente</w:t>
      </w:r>
      <w:r w:rsidR="002139BE">
        <w:rPr>
          <w:rFonts w:cs="Arial"/>
        </w:rPr>
        <w:t xml:space="preserve">, circa 1.700 aziende in </w:t>
      </w:r>
      <w:r w:rsidR="00AB0658">
        <w:rPr>
          <w:rFonts w:cs="Arial"/>
        </w:rPr>
        <w:t xml:space="preserve">meno in </w:t>
      </w:r>
      <w:r w:rsidR="002139BE">
        <w:rPr>
          <w:rFonts w:cs="Arial"/>
        </w:rPr>
        <w:t>valori assoluti</w:t>
      </w:r>
      <w:r w:rsidRPr="00E33455">
        <w:rPr>
          <w:rFonts w:cs="Arial"/>
        </w:rPr>
        <w:t xml:space="preserve">. </w:t>
      </w:r>
      <w:r w:rsidRPr="00E96537">
        <w:rPr>
          <w:rFonts w:cs="Arial"/>
          <w:color w:val="000000" w:themeColor="text1"/>
        </w:rPr>
        <w:t xml:space="preserve">La flessione è da attribuire principalmente alle costruzioni </w:t>
      </w:r>
      <w:r w:rsidR="002139BE">
        <w:rPr>
          <w:rFonts w:cs="Arial"/>
          <w:color w:val="000000" w:themeColor="text1"/>
        </w:rPr>
        <w:t>(</w:t>
      </w:r>
      <w:r w:rsidRPr="00E96537">
        <w:rPr>
          <w:rFonts w:cs="Arial"/>
          <w:color w:val="000000" w:themeColor="text1"/>
        </w:rPr>
        <w:t>-1,5 per cento) e alla manifattura (-2,0 per cento) e al trasporto e magazzinaggio</w:t>
      </w:r>
      <w:r w:rsidR="002139BE">
        <w:rPr>
          <w:rFonts w:cs="Arial"/>
          <w:color w:val="000000" w:themeColor="text1"/>
        </w:rPr>
        <w:t xml:space="preserve"> (</w:t>
      </w:r>
      <w:r w:rsidRPr="00E96537">
        <w:rPr>
          <w:rFonts w:cs="Arial"/>
          <w:color w:val="000000" w:themeColor="text1"/>
        </w:rPr>
        <w:t xml:space="preserve">-3,5 per cento). </w:t>
      </w:r>
    </w:p>
    <w:p w14:paraId="6C793C9B" w14:textId="77777777" w:rsidR="00E96537" w:rsidRDefault="00E96537" w:rsidP="00E96537">
      <w:pPr>
        <w:rPr>
          <w:rFonts w:cs="Arial"/>
          <w:color w:val="7030A0"/>
        </w:rPr>
      </w:pPr>
    </w:p>
    <w:p w14:paraId="02170398" w14:textId="77777777" w:rsidR="00E96537" w:rsidRDefault="00E96537" w:rsidP="00E96537">
      <w:pPr>
        <w:rPr>
          <w:rFonts w:cs="Arial"/>
          <w:color w:val="000000" w:themeColor="text1"/>
        </w:rPr>
      </w:pPr>
      <w:r w:rsidRPr="00E33455">
        <w:rPr>
          <w:rFonts w:cs="Arial"/>
        </w:rPr>
        <w:t>Gli addetti delle imprese dell’artigianato dell’Emilia-Romagna a fine giugno 2019 erano</w:t>
      </w:r>
      <w:r w:rsidR="00AB0658">
        <w:rPr>
          <w:rFonts w:cs="Arial"/>
        </w:rPr>
        <w:t xml:space="preserve"> oltre 290</w:t>
      </w:r>
      <w:r w:rsidR="002139BE">
        <w:rPr>
          <w:rFonts w:cs="Arial"/>
        </w:rPr>
        <w:t>mila</w:t>
      </w:r>
      <w:r w:rsidRPr="00E33455">
        <w:rPr>
          <w:rFonts w:cs="Arial"/>
        </w:rPr>
        <w:t xml:space="preserve">, </w:t>
      </w:r>
      <w:r w:rsidR="00AB0658">
        <w:rPr>
          <w:rFonts w:cs="Arial"/>
        </w:rPr>
        <w:t>quasi</w:t>
      </w:r>
      <w:r w:rsidRPr="00E33455">
        <w:rPr>
          <w:rFonts w:cs="Arial"/>
        </w:rPr>
        <w:t xml:space="preserve"> </w:t>
      </w:r>
      <w:r w:rsidR="00AB0658">
        <w:rPr>
          <w:rFonts w:cs="Arial"/>
        </w:rPr>
        <w:t>3</w:t>
      </w:r>
      <w:r w:rsidRPr="00E33455">
        <w:rPr>
          <w:rFonts w:cs="Arial"/>
        </w:rPr>
        <w:t>.</w:t>
      </w:r>
      <w:r w:rsidR="00AB0658">
        <w:rPr>
          <w:rFonts w:cs="Arial"/>
        </w:rPr>
        <w:t>0</w:t>
      </w:r>
      <w:r w:rsidR="002139BE">
        <w:rPr>
          <w:rFonts w:cs="Arial"/>
        </w:rPr>
        <w:t>00</w:t>
      </w:r>
      <w:r w:rsidRPr="00E33455">
        <w:rPr>
          <w:rFonts w:cs="Arial"/>
        </w:rPr>
        <w:t xml:space="preserve"> in meno (-1,0 per cento) rispetto allo stesso mese dell’anno precedente. </w:t>
      </w:r>
      <w:proofErr w:type="gramStart"/>
      <w:r w:rsidRPr="00AB0658">
        <w:rPr>
          <w:rFonts w:cs="Arial"/>
          <w:color w:val="000000" w:themeColor="text1"/>
        </w:rPr>
        <w:t>In particolare</w:t>
      </w:r>
      <w:proofErr w:type="gramEnd"/>
      <w:r w:rsidRPr="00AB0658">
        <w:rPr>
          <w:rFonts w:cs="Arial"/>
          <w:color w:val="000000" w:themeColor="text1"/>
        </w:rPr>
        <w:t xml:space="preserve"> la flessione rispetto allo scorso anno è da attribuire principalmente al settore dalla manifattura</w:t>
      </w:r>
      <w:r w:rsidR="00AB0658">
        <w:rPr>
          <w:rFonts w:cs="Arial"/>
          <w:color w:val="000000" w:themeColor="text1"/>
        </w:rPr>
        <w:t xml:space="preserve"> </w:t>
      </w:r>
      <w:r w:rsidRPr="00AB0658">
        <w:rPr>
          <w:rFonts w:cs="Arial"/>
          <w:color w:val="000000" w:themeColor="text1"/>
        </w:rPr>
        <w:t>e, solo in misura minore alle costruzioni</w:t>
      </w:r>
      <w:r w:rsidRPr="00AB0658">
        <w:rPr>
          <w:color w:val="000000" w:themeColor="text1"/>
        </w:rPr>
        <w:t>.</w:t>
      </w:r>
      <w:r w:rsidR="00AB0658">
        <w:rPr>
          <w:color w:val="000000" w:themeColor="text1"/>
        </w:rPr>
        <w:t xml:space="preserve"> All’interno del terziario</w:t>
      </w:r>
      <w:r w:rsidRPr="00AB0658">
        <w:rPr>
          <w:rFonts w:cs="Arial"/>
          <w:color w:val="000000" w:themeColor="text1"/>
        </w:rPr>
        <w:t xml:space="preserve"> si segnala una lievissima variazione positiva.</w:t>
      </w:r>
    </w:p>
    <w:p w14:paraId="47F1864E" w14:textId="77777777" w:rsidR="00AB0658" w:rsidRDefault="00AB0658" w:rsidP="00E96537">
      <w:pPr>
        <w:rPr>
          <w:rFonts w:cs="Arial"/>
          <w:color w:val="000000" w:themeColor="text1"/>
        </w:rPr>
      </w:pPr>
    </w:p>
    <w:p w14:paraId="17BA3F00" w14:textId="77777777" w:rsidR="009F1F4C" w:rsidRDefault="00AB0658" w:rsidP="00E96537">
      <w:r>
        <w:t xml:space="preserve">Secondo i dati dell’indagine congiunturale realizzata dal sistema delle Camere di commercio dell’Emilia-Romagna, </w:t>
      </w:r>
      <w:r w:rsidR="003E1166">
        <w:t>l</w:t>
      </w:r>
      <w:r w:rsidRPr="0063298B">
        <w:t>a lieve recessione della seconda metà del 2018 si è appesantita dall’in</w:t>
      </w:r>
      <w:r w:rsidR="003E1166">
        <w:t>izio del 2019. L</w:t>
      </w:r>
      <w:r w:rsidRPr="0063298B">
        <w:t>’artigian</w:t>
      </w:r>
      <w:r w:rsidR="009F1F4C">
        <w:t>a</w:t>
      </w:r>
      <w:r w:rsidRPr="0063298B">
        <w:t xml:space="preserve">to manifatturiero regionale </w:t>
      </w:r>
      <w:r w:rsidRPr="0063298B">
        <w:rPr>
          <w:rFonts w:cs="Arial"/>
        </w:rPr>
        <w:t xml:space="preserve">ha chiuso i primi nove mesi del 2019 con una </w:t>
      </w:r>
      <w:r w:rsidR="009F1F4C">
        <w:rPr>
          <w:rFonts w:cs="Arial"/>
        </w:rPr>
        <w:t>flessione della</w:t>
      </w:r>
      <w:r w:rsidRPr="0063298B">
        <w:t xml:space="preserve"> </w:t>
      </w:r>
      <w:r w:rsidRPr="0063298B">
        <w:rPr>
          <w:bCs/>
        </w:rPr>
        <w:t>produzione</w:t>
      </w:r>
      <w:r w:rsidRPr="0063298B">
        <w:t xml:space="preserve"> del 2,1 per cento</w:t>
      </w:r>
      <w:r>
        <w:t>.</w:t>
      </w:r>
      <w:r w:rsidR="009F1F4C">
        <w:t xml:space="preserve"> </w:t>
      </w:r>
    </w:p>
    <w:p w14:paraId="5F0F9341" w14:textId="77777777" w:rsidR="00E96537" w:rsidRDefault="009F1F4C" w:rsidP="00E96537">
      <w:pPr>
        <w:rPr>
          <w:rFonts w:cs="Arial"/>
          <w:color w:val="7030A0"/>
        </w:rPr>
      </w:pPr>
      <w:r>
        <w:t xml:space="preserve">Anche per </w:t>
      </w:r>
      <w:r w:rsidR="00E96537" w:rsidRPr="00E33455">
        <w:t>le impr</w:t>
      </w:r>
      <w:r>
        <w:t xml:space="preserve">ese artigiane delle costruzioni il </w:t>
      </w:r>
      <w:r w:rsidR="00E96537" w:rsidRPr="00E33455">
        <w:t xml:space="preserve">segno </w:t>
      </w:r>
      <w:proofErr w:type="gramStart"/>
      <w:r w:rsidR="00E96537" w:rsidRPr="00E33455">
        <w:t>rosso  ha</w:t>
      </w:r>
      <w:proofErr w:type="gramEnd"/>
      <w:r w:rsidR="00E96537" w:rsidRPr="00E33455">
        <w:t xml:space="preserve"> dominato la prima metà dell’anno, </w:t>
      </w:r>
      <w:r w:rsidR="00E96537">
        <w:t xml:space="preserve">ma </w:t>
      </w:r>
      <w:r>
        <w:t>con il</w:t>
      </w:r>
      <w:r w:rsidR="00E96537" w:rsidRPr="00E33455">
        <w:t xml:space="preserve"> terzo trimestre </w:t>
      </w:r>
      <w:r>
        <w:t xml:space="preserve">in crescita </w:t>
      </w:r>
      <w:r w:rsidR="00E96537" w:rsidRPr="00E33455">
        <w:t xml:space="preserve">potrebbe essersi chiusa la fase </w:t>
      </w:r>
      <w:r>
        <w:t>negativa</w:t>
      </w:r>
      <w:r w:rsidR="00E96537" w:rsidRPr="00E33455">
        <w:t xml:space="preserve">. </w:t>
      </w:r>
      <w:r>
        <w:t>Complessivamente n</w:t>
      </w:r>
      <w:r w:rsidR="00E96537" w:rsidRPr="00E33455">
        <w:t xml:space="preserve">ei primi nove mesi dell’anno il volume d’affari a prezzi correnti </w:t>
      </w:r>
      <w:r>
        <w:t>è diminuito</w:t>
      </w:r>
      <w:r w:rsidR="00E96537" w:rsidRPr="00E33455">
        <w:t xml:space="preserve"> dello 0,4 per cento rispetto all’analog</w:t>
      </w:r>
      <w:r>
        <w:t>o periodo dell’anno precedente.</w:t>
      </w:r>
    </w:p>
    <w:p w14:paraId="7390FD8D" w14:textId="77777777" w:rsidR="00E96537" w:rsidRPr="00FE7B83" w:rsidRDefault="00E96537" w:rsidP="00E96537">
      <w:pPr>
        <w:rPr>
          <w:rFonts w:cs="Arial"/>
          <w:color w:val="7030A0"/>
        </w:rPr>
      </w:pPr>
    </w:p>
    <w:p w14:paraId="1C5BFB5E" w14:textId="283BC2BA" w:rsidR="00A33FD6" w:rsidRPr="00B619D2" w:rsidRDefault="00A33FD6" w:rsidP="00D8220A">
      <w:pPr>
        <w:pStyle w:val="Titolo2"/>
      </w:pPr>
      <w:r w:rsidRPr="002E785B">
        <w:t>Co</w:t>
      </w:r>
      <w:bookmarkStart w:id="2" w:name="_GoBack"/>
      <w:bookmarkEnd w:id="2"/>
      <w:r w:rsidRPr="002E785B">
        <w:t>operazione</w:t>
      </w:r>
    </w:p>
    <w:p w14:paraId="0FC7036B" w14:textId="77777777" w:rsidR="006D3C01" w:rsidRDefault="006D3C01" w:rsidP="006D3C01">
      <w:r>
        <w:t xml:space="preserve">Al 30 settembre 2019 le cooperative attive in regione erano poco meno di 5mila, l’1,2 per cento del totale delle imprese, un’incidenza apparentemente marginale. La valutazione sul ruolo della cooperazione cambia radicalmente se si guarda all’occupazione creata, quasi 250mila addetti pari al 14 per cento del totale regionale, oltre 40 miliardi di fatturato equivalente, ancora una volta, a quasi il 14 per cento del valore della produzione ascrivibile alle società di capitali regionali. Quasi un terzo del fatturato realizzato </w:t>
      </w:r>
      <w:proofErr w:type="gramStart"/>
      <w:r>
        <w:t>dalla cooperative</w:t>
      </w:r>
      <w:proofErr w:type="gramEnd"/>
      <w:r>
        <w:t xml:space="preserve"> italiane è “</w:t>
      </w:r>
      <w:r w:rsidRPr="006D3C01">
        <w:rPr>
          <w:i/>
        </w:rPr>
        <w:t>made in Emilia-Romagna</w:t>
      </w:r>
      <w:r>
        <w:t>”.</w:t>
      </w:r>
    </w:p>
    <w:p w14:paraId="60DAD12C" w14:textId="77777777" w:rsidR="00A77414" w:rsidRDefault="00A77414" w:rsidP="00A77414">
      <w:r>
        <w:t>Nell’ultimo anno il numero delle cooperative in Emilia-Romagna è diminuito del 3 per cento, flessione che ha toccato il 7 per cento se considerata con riferimento all’ultimo quinquennio. Al contrario l’occupazione è cresciuta dell’1,4 per cento rispetto al 2018 e del 3,5 per cento rispetto al 2014. La crescita occupazionale trova conferma anche nell’aumento del fatturato delle cooperative, cresciuto dell’1,5 per cento nel 2018 rispetto al 2017.</w:t>
      </w:r>
    </w:p>
    <w:p w14:paraId="459772C1" w14:textId="77777777" w:rsidR="006D3C01" w:rsidRDefault="006D3C01" w:rsidP="006D3C01"/>
    <w:p w14:paraId="5E1A33EC" w14:textId="77777777" w:rsidR="006D3C01" w:rsidRDefault="006D3C01" w:rsidP="006D3C01">
      <w:r>
        <w:t>Due i settori nei quali la cooperazione rafforza la propria base imprenditoriale, l’agricoltura e i servizi alle persone. I cali più consistenti riguardano il commercio, al cui interno è compresa anche la ristorazione, le costruzioni e il manifatturiero. Le variazioni di lungo periodo dell’occupazione delineano nuovi percorsi di crescita del mondo cooperativo, una ristrutturazione che porta ad una forte contrazione del manifatturiero e delle costruzioni, una crescita dei servizi alle persone (trainata dalle cooperative sociali), dell’agricoltura e del commercio.</w:t>
      </w:r>
    </w:p>
    <w:p w14:paraId="2E46CE76" w14:textId="77777777" w:rsidR="00B619D2" w:rsidRDefault="00B619D2" w:rsidP="00B619D2"/>
    <w:sectPr w:rsidR="00B619D2" w:rsidSect="00986FF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276" w:right="992" w:bottom="1276" w:left="155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6A86B" w14:textId="77777777" w:rsidR="00FA630C" w:rsidRDefault="00FA630C">
      <w:r>
        <w:separator/>
      </w:r>
    </w:p>
    <w:p w14:paraId="1C07E58B" w14:textId="77777777" w:rsidR="00FA630C" w:rsidRDefault="00FA630C"/>
  </w:endnote>
  <w:endnote w:type="continuationSeparator" w:id="0">
    <w:p w14:paraId="2323A952" w14:textId="77777777" w:rsidR="00FA630C" w:rsidRDefault="00FA630C">
      <w:r>
        <w:continuationSeparator/>
      </w:r>
    </w:p>
    <w:p w14:paraId="2A23632A" w14:textId="77777777" w:rsidR="00FA630C" w:rsidRDefault="00FA6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EAA4" w14:textId="77777777" w:rsidR="007709BA" w:rsidRDefault="002F0B21" w:rsidP="00541FB1">
    <w:pPr>
      <w:pStyle w:val="Pidipaginacorsivo"/>
    </w:pPr>
    <w:r>
      <w:rPr>
        <w:noProof/>
      </w:rPr>
      <mc:AlternateContent>
        <mc:Choice Requires="wps">
          <w:drawing>
            <wp:anchor distT="0" distB="0" distL="114300" distR="114300" simplePos="0" relativeHeight="251658752" behindDoc="0" locked="0" layoutInCell="0" allowOverlap="1" wp14:anchorId="22519F53" wp14:editId="305A0905">
              <wp:simplePos x="0" y="0"/>
              <wp:positionH relativeFrom="column">
                <wp:posOffset>15240</wp:posOffset>
              </wp:positionH>
              <wp:positionV relativeFrom="paragraph">
                <wp:posOffset>121920</wp:posOffset>
              </wp:positionV>
              <wp:extent cx="59436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5D4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" o:allowincell="f">
              <w10:wrap type="topAndBottom"/>
            </v:line>
          </w:pict>
        </mc:Fallback>
      </mc:AlternateContent>
    </w:r>
  </w:p>
  <w:p w14:paraId="28548CA4" w14:textId="77777777" w:rsidR="007709BA" w:rsidRDefault="007709BA" w:rsidP="00541FB1">
    <w:pPr>
      <w:pStyle w:val="Pidipaginacorsivo"/>
    </w:pPr>
    <w:r w:rsidRPr="006F328F">
      <w:t>Unioncamere Emilia-Romagna - Regione Emilia-Romagna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381E" w14:textId="77777777" w:rsidR="007709BA" w:rsidRDefault="002F0B21" w:rsidP="00541FB1">
    <w:pPr>
      <w:pStyle w:val="Pidipaginacorsivo"/>
    </w:pPr>
    <w:bookmarkStart w:id="3" w:name="OLE_LINK15"/>
    <w:bookmarkStart w:id="4" w:name="OLE_LINK16"/>
    <w:r>
      <w:rPr>
        <w:noProof/>
      </w:rPr>
      <mc:AlternateContent>
        <mc:Choice Requires="wps">
          <w:drawing>
            <wp:anchor distT="0" distB="0" distL="114300" distR="114300" simplePos="0" relativeHeight="251656704" behindDoc="0" locked="0" layoutInCell="0" allowOverlap="1" wp14:anchorId="0918E4CE" wp14:editId="1B0E5A1A">
              <wp:simplePos x="0" y="0"/>
              <wp:positionH relativeFrom="column">
                <wp:posOffset>15240</wp:posOffset>
              </wp:positionH>
              <wp:positionV relativeFrom="paragraph">
                <wp:posOffset>121920</wp:posOffset>
              </wp:positionV>
              <wp:extent cx="59436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F19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" o:allowincell="f">
              <w10:wrap type="topAndBottom"/>
            </v:line>
          </w:pict>
        </mc:Fallback>
      </mc:AlternateContent>
    </w:r>
  </w:p>
  <w:p w14:paraId="649899A8" w14:textId="77777777" w:rsidR="007709BA" w:rsidRDefault="007709BA" w:rsidP="00541FB1">
    <w:pPr>
      <w:pStyle w:val="Pidipaginacorsivo"/>
    </w:pPr>
    <w:r w:rsidRPr="006F328F">
      <w:t>Unioncamere Emilia-Romagna - Regione Emilia-Romagna</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8659" w14:textId="77777777" w:rsidR="007709BA" w:rsidRDefault="002F0B21" w:rsidP="00521119">
    <w:pPr>
      <w:pStyle w:val="Pidipaginacorsivo"/>
    </w:pPr>
    <w:r>
      <w:rPr>
        <w:noProof/>
      </w:rPr>
      <mc:AlternateContent>
        <mc:Choice Requires="wps">
          <w:drawing>
            <wp:anchor distT="0" distB="0" distL="114300" distR="114300" simplePos="0" relativeHeight="251659776" behindDoc="0" locked="0" layoutInCell="0" allowOverlap="1" wp14:anchorId="10A351D1" wp14:editId="64868582">
              <wp:simplePos x="0" y="0"/>
              <wp:positionH relativeFrom="column">
                <wp:posOffset>15240</wp:posOffset>
              </wp:positionH>
              <wp:positionV relativeFrom="paragraph">
                <wp:posOffset>121920</wp:posOffset>
              </wp:positionV>
              <wp:extent cx="5943600" cy="0"/>
              <wp:effectExtent l="0" t="0" r="0" b="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817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V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" o:allowincell="f">
              <w10:wrap type="topAndBottom"/>
            </v:line>
          </w:pict>
        </mc:Fallback>
      </mc:AlternateContent>
    </w:r>
  </w:p>
  <w:p w14:paraId="22EFE0CC" w14:textId="77777777" w:rsidR="007709BA" w:rsidRDefault="007709BA" w:rsidP="00521119">
    <w:pPr>
      <w:pStyle w:val="Pidipaginacorsivo"/>
    </w:pPr>
    <w:r w:rsidRPr="006F328F">
      <w:t>Unioncamere Emilia-Romagna - Regione Emilia-Romagna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1B99" w14:textId="77777777" w:rsidR="00FA630C" w:rsidRDefault="00FA630C">
      <w:r>
        <w:separator/>
      </w:r>
    </w:p>
    <w:p w14:paraId="3CFB6E09" w14:textId="77777777" w:rsidR="00FA630C" w:rsidRDefault="00FA630C"/>
  </w:footnote>
  <w:footnote w:type="continuationSeparator" w:id="0">
    <w:p w14:paraId="1DBE709B" w14:textId="77777777" w:rsidR="00FA630C" w:rsidRDefault="00FA630C">
      <w:r>
        <w:continuationSeparator/>
      </w:r>
    </w:p>
    <w:p w14:paraId="2DF2AE6B" w14:textId="77777777" w:rsidR="00FA630C" w:rsidRDefault="00FA630C"/>
  </w:footnote>
  <w:footnote w:id="1">
    <w:p w14:paraId="17BCAA1D" w14:textId="77777777" w:rsidR="00A5785A" w:rsidRDefault="00A5785A">
      <w:pPr>
        <w:pStyle w:val="Testonotaapidipagina"/>
      </w:pPr>
      <w:r>
        <w:rPr>
          <w:rStyle w:val="Rimandonotaapidipagina"/>
        </w:rPr>
        <w:footnoteRef/>
      </w:r>
      <w:r>
        <w:t xml:space="preserve"> Le previsioni sulla crescita delle regioni italiane sono elaborazioni Unioncamere Emilia-Romagna su dati Prometeia, “scenari delle economie locali”, edizione di ottobre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AFAE" w14:textId="77777777" w:rsidR="007709BA" w:rsidRDefault="007709BA" w:rsidP="009D094D">
    <w:pPr>
      <w:framePr w:wrap="around" w:vAnchor="text" w:hAnchor="margin" w:xAlign="outside" w:y="1"/>
      <w:ind w:firstLine="0"/>
      <w:rPr>
        <w:rStyle w:val="Numeropagina"/>
      </w:rPr>
    </w:pPr>
    <w:r>
      <w:rPr>
        <w:rStyle w:val="Numeropagina"/>
      </w:rPr>
      <w:fldChar w:fldCharType="begin"/>
    </w:r>
    <w:r>
      <w:rPr>
        <w:rStyle w:val="Numeropagina"/>
      </w:rPr>
      <w:instrText xml:space="preserve">PAGE  </w:instrText>
    </w:r>
    <w:r>
      <w:rPr>
        <w:rStyle w:val="Numeropagina"/>
      </w:rPr>
      <w:fldChar w:fldCharType="separate"/>
    </w:r>
    <w:r w:rsidR="00B43272">
      <w:rPr>
        <w:rStyle w:val="Numeropagina"/>
        <w:noProof/>
      </w:rPr>
      <w:t>8</w:t>
    </w:r>
    <w:r>
      <w:rPr>
        <w:rStyle w:val="Numeropagina"/>
      </w:rPr>
      <w:fldChar w:fldCharType="end"/>
    </w:r>
  </w:p>
  <w:p w14:paraId="401F7616" w14:textId="48ED9A20" w:rsidR="007709BA" w:rsidRPr="006F328F" w:rsidRDefault="007709BA" w:rsidP="00521119">
    <w:pPr>
      <w:pStyle w:val="Intestazionecorsivo"/>
    </w:pPr>
    <w:r w:rsidRPr="006F328F">
      <w:t xml:space="preserve">Rapporto </w:t>
    </w:r>
    <w:r w:rsidR="00CF17A0">
      <w:fldChar w:fldCharType="begin"/>
    </w:r>
    <w:r w:rsidR="00CF17A0">
      <w:instrText xml:space="preserve"> DATE  \@ "yyyy"  \* MERGEFORMAT </w:instrText>
    </w:r>
    <w:r w:rsidR="00CF17A0">
      <w:fldChar w:fldCharType="separate"/>
    </w:r>
    <w:r w:rsidR="00DD12D1">
      <w:t>2019</w:t>
    </w:r>
    <w:r w:rsidR="00CF17A0">
      <w:fldChar w:fldCharType="end"/>
    </w:r>
    <w:r>
      <w:t xml:space="preserve"> sull'economia regionale</w:t>
    </w:r>
  </w:p>
  <w:p w14:paraId="1201F599" w14:textId="77777777" w:rsidR="007709BA" w:rsidRDefault="002F0B21" w:rsidP="00521119">
    <w:pPr>
      <w:pStyle w:val="Intestazionecorsivo"/>
    </w:pPr>
    <w:r>
      <mc:AlternateContent>
        <mc:Choice Requires="wps">
          <w:drawing>
            <wp:anchor distT="0" distB="0" distL="114300" distR="114300" simplePos="0" relativeHeight="251657728" behindDoc="0" locked="0" layoutInCell="0" allowOverlap="1" wp14:anchorId="0C21E98F" wp14:editId="0C09D68A">
              <wp:simplePos x="0" y="0"/>
              <wp:positionH relativeFrom="column">
                <wp:posOffset>15240</wp:posOffset>
              </wp:positionH>
              <wp:positionV relativeFrom="paragraph">
                <wp:posOffset>36830</wp:posOffset>
              </wp:positionV>
              <wp:extent cx="594360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C0A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69.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p9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" o:allowincell="f">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38E3" w14:textId="77777777" w:rsidR="007709BA" w:rsidRDefault="007709BA" w:rsidP="009D094D">
    <w:pPr>
      <w:framePr w:wrap="around" w:vAnchor="text" w:hAnchor="margin" w:xAlign="outside" w:y="1"/>
      <w:ind w:firstLine="0"/>
      <w:rPr>
        <w:rStyle w:val="Numeropagina"/>
      </w:rPr>
    </w:pPr>
    <w:r>
      <w:rPr>
        <w:rStyle w:val="Numeropagina"/>
      </w:rPr>
      <w:fldChar w:fldCharType="begin"/>
    </w:r>
    <w:r>
      <w:rPr>
        <w:rStyle w:val="Numeropagina"/>
      </w:rPr>
      <w:instrText xml:space="preserve">PAGE  </w:instrText>
    </w:r>
    <w:r>
      <w:rPr>
        <w:rStyle w:val="Numeropagina"/>
      </w:rPr>
      <w:fldChar w:fldCharType="separate"/>
    </w:r>
    <w:r w:rsidR="00B43272">
      <w:rPr>
        <w:rStyle w:val="Numeropagina"/>
        <w:noProof/>
      </w:rPr>
      <w:t>7</w:t>
    </w:r>
    <w:r>
      <w:rPr>
        <w:rStyle w:val="Numeropagina"/>
      </w:rPr>
      <w:fldChar w:fldCharType="end"/>
    </w:r>
  </w:p>
  <w:p w14:paraId="7521304F" w14:textId="77777777" w:rsidR="007709BA" w:rsidRPr="006F328F" w:rsidRDefault="00D8220A">
    <w:pPr>
      <w:pStyle w:val="Intestazionecorsivo"/>
    </w:pPr>
    <w:r>
      <w:t xml:space="preserve">2.1. </w:t>
    </w:r>
    <w:r w:rsidRPr="00D8220A">
      <w:t>Quadro di sintesi. L’economia regionale nel 2017</w:t>
    </w:r>
  </w:p>
  <w:p w14:paraId="15472A5B" w14:textId="77777777" w:rsidR="007709BA" w:rsidRDefault="002F0B21" w:rsidP="00541FB1">
    <w:pPr>
      <w:pStyle w:val="Intestazionecorsivo"/>
    </w:pPr>
    <w:r>
      <mc:AlternateContent>
        <mc:Choice Requires="wps">
          <w:drawing>
            <wp:anchor distT="0" distB="0" distL="114300" distR="114300" simplePos="0" relativeHeight="251655680" behindDoc="0" locked="0" layoutInCell="0" allowOverlap="1" wp14:anchorId="70781976" wp14:editId="4A75BFF3">
              <wp:simplePos x="0" y="0"/>
              <wp:positionH relativeFrom="column">
                <wp:posOffset>15240</wp:posOffset>
              </wp:positionH>
              <wp:positionV relativeFrom="paragraph">
                <wp:posOffset>36830</wp:posOffset>
              </wp:positionV>
              <wp:extent cx="5943600" cy="0"/>
              <wp:effectExtent l="0" t="0" r="0" b="0"/>
              <wp:wrapTopAndBottom/>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7C164"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69.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" o:allowincell="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73F1" w14:textId="77777777" w:rsidR="009D094D" w:rsidRDefault="009D09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C6F"/>
    <w:multiLevelType w:val="hybridMultilevel"/>
    <w:tmpl w:val="015A29D4"/>
    <w:lvl w:ilvl="0" w:tplc="04100001">
      <w:start w:val="1"/>
      <w:numFmt w:val="bullet"/>
      <w:lvlText w:val=""/>
      <w:lvlJc w:val="left"/>
      <w:pPr>
        <w:ind w:left="947" w:hanging="360"/>
      </w:pPr>
      <w:rPr>
        <w:rFonts w:ascii="Symbol" w:hAnsi="Symbol"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intFractionalCharacterWidth/>
  <w:mirrorMargin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B21"/>
    <w:rsid w:val="00007F5A"/>
    <w:rsid w:val="00032775"/>
    <w:rsid w:val="00033658"/>
    <w:rsid w:val="000355D6"/>
    <w:rsid w:val="00055D4D"/>
    <w:rsid w:val="000621FA"/>
    <w:rsid w:val="00067E4A"/>
    <w:rsid w:val="00071EE8"/>
    <w:rsid w:val="000735D4"/>
    <w:rsid w:val="000B4C94"/>
    <w:rsid w:val="000D1534"/>
    <w:rsid w:val="000D74A5"/>
    <w:rsid w:val="000F09B4"/>
    <w:rsid w:val="0010766F"/>
    <w:rsid w:val="00107C21"/>
    <w:rsid w:val="00126A7C"/>
    <w:rsid w:val="001353BB"/>
    <w:rsid w:val="00136FD2"/>
    <w:rsid w:val="0014540F"/>
    <w:rsid w:val="0014543C"/>
    <w:rsid w:val="00145E25"/>
    <w:rsid w:val="0015630F"/>
    <w:rsid w:val="0016238A"/>
    <w:rsid w:val="001623C7"/>
    <w:rsid w:val="00167D32"/>
    <w:rsid w:val="001803AB"/>
    <w:rsid w:val="001C07BD"/>
    <w:rsid w:val="001D0456"/>
    <w:rsid w:val="001D1272"/>
    <w:rsid w:val="002139BE"/>
    <w:rsid w:val="00217E09"/>
    <w:rsid w:val="0023194D"/>
    <w:rsid w:val="00256848"/>
    <w:rsid w:val="00285025"/>
    <w:rsid w:val="002A2AE9"/>
    <w:rsid w:val="002E785B"/>
    <w:rsid w:val="002F0B21"/>
    <w:rsid w:val="002F3F01"/>
    <w:rsid w:val="00301E6A"/>
    <w:rsid w:val="003132B4"/>
    <w:rsid w:val="00334C28"/>
    <w:rsid w:val="003351D9"/>
    <w:rsid w:val="003717CA"/>
    <w:rsid w:val="003C3CFD"/>
    <w:rsid w:val="003E1166"/>
    <w:rsid w:val="003F3E0D"/>
    <w:rsid w:val="00416264"/>
    <w:rsid w:val="00452389"/>
    <w:rsid w:val="00475E64"/>
    <w:rsid w:val="00476175"/>
    <w:rsid w:val="00482444"/>
    <w:rsid w:val="004C2F1B"/>
    <w:rsid w:val="004C705F"/>
    <w:rsid w:val="004D5DA3"/>
    <w:rsid w:val="004E50AD"/>
    <w:rsid w:val="004F6DAE"/>
    <w:rsid w:val="005011E0"/>
    <w:rsid w:val="00503C1B"/>
    <w:rsid w:val="00506B11"/>
    <w:rsid w:val="00521119"/>
    <w:rsid w:val="00523655"/>
    <w:rsid w:val="00537422"/>
    <w:rsid w:val="00541FB1"/>
    <w:rsid w:val="005542F1"/>
    <w:rsid w:val="00562C51"/>
    <w:rsid w:val="00562EE8"/>
    <w:rsid w:val="00591512"/>
    <w:rsid w:val="005B1DC4"/>
    <w:rsid w:val="005F5B76"/>
    <w:rsid w:val="00606B01"/>
    <w:rsid w:val="00622412"/>
    <w:rsid w:val="006225A6"/>
    <w:rsid w:val="00646138"/>
    <w:rsid w:val="00662967"/>
    <w:rsid w:val="00681071"/>
    <w:rsid w:val="006843F3"/>
    <w:rsid w:val="006A3A7F"/>
    <w:rsid w:val="006A6969"/>
    <w:rsid w:val="006B25D9"/>
    <w:rsid w:val="006D3C01"/>
    <w:rsid w:val="006F328F"/>
    <w:rsid w:val="0071504B"/>
    <w:rsid w:val="00724ABC"/>
    <w:rsid w:val="00732FE2"/>
    <w:rsid w:val="00736E99"/>
    <w:rsid w:val="007434E8"/>
    <w:rsid w:val="007709BA"/>
    <w:rsid w:val="00777092"/>
    <w:rsid w:val="007871DC"/>
    <w:rsid w:val="00790A98"/>
    <w:rsid w:val="00791BA6"/>
    <w:rsid w:val="00794996"/>
    <w:rsid w:val="00794EAB"/>
    <w:rsid w:val="007C32E7"/>
    <w:rsid w:val="007F767A"/>
    <w:rsid w:val="008001B1"/>
    <w:rsid w:val="00803B1C"/>
    <w:rsid w:val="00806C8E"/>
    <w:rsid w:val="00810B5E"/>
    <w:rsid w:val="0083021E"/>
    <w:rsid w:val="00833F1B"/>
    <w:rsid w:val="008340FF"/>
    <w:rsid w:val="0084462C"/>
    <w:rsid w:val="00861B6A"/>
    <w:rsid w:val="00884516"/>
    <w:rsid w:val="0088719E"/>
    <w:rsid w:val="008A63A9"/>
    <w:rsid w:val="008F762B"/>
    <w:rsid w:val="009135F2"/>
    <w:rsid w:val="00927E9E"/>
    <w:rsid w:val="00927ECE"/>
    <w:rsid w:val="00937137"/>
    <w:rsid w:val="009415A4"/>
    <w:rsid w:val="009439FA"/>
    <w:rsid w:val="00963B03"/>
    <w:rsid w:val="00986FFE"/>
    <w:rsid w:val="009A23DE"/>
    <w:rsid w:val="009B2C90"/>
    <w:rsid w:val="009D094D"/>
    <w:rsid w:val="009F1F4C"/>
    <w:rsid w:val="00A00815"/>
    <w:rsid w:val="00A1173F"/>
    <w:rsid w:val="00A21326"/>
    <w:rsid w:val="00A226D3"/>
    <w:rsid w:val="00A33FD6"/>
    <w:rsid w:val="00A46FD8"/>
    <w:rsid w:val="00A521F6"/>
    <w:rsid w:val="00A5785A"/>
    <w:rsid w:val="00A77414"/>
    <w:rsid w:val="00A8594A"/>
    <w:rsid w:val="00A92339"/>
    <w:rsid w:val="00AB0658"/>
    <w:rsid w:val="00AD3962"/>
    <w:rsid w:val="00AD7CC0"/>
    <w:rsid w:val="00AF1582"/>
    <w:rsid w:val="00B0117D"/>
    <w:rsid w:val="00B0245A"/>
    <w:rsid w:val="00B300CF"/>
    <w:rsid w:val="00B37865"/>
    <w:rsid w:val="00B40EFD"/>
    <w:rsid w:val="00B43272"/>
    <w:rsid w:val="00B619D2"/>
    <w:rsid w:val="00B662BC"/>
    <w:rsid w:val="00B7316F"/>
    <w:rsid w:val="00B74896"/>
    <w:rsid w:val="00B74DF1"/>
    <w:rsid w:val="00B90F0D"/>
    <w:rsid w:val="00B9714D"/>
    <w:rsid w:val="00BD7ED5"/>
    <w:rsid w:val="00BE295A"/>
    <w:rsid w:val="00BE5A08"/>
    <w:rsid w:val="00BF4352"/>
    <w:rsid w:val="00C146C7"/>
    <w:rsid w:val="00C23D09"/>
    <w:rsid w:val="00C32B9F"/>
    <w:rsid w:val="00C40E72"/>
    <w:rsid w:val="00C566E5"/>
    <w:rsid w:val="00C622DC"/>
    <w:rsid w:val="00C851C5"/>
    <w:rsid w:val="00C95269"/>
    <w:rsid w:val="00C971BF"/>
    <w:rsid w:val="00CB1733"/>
    <w:rsid w:val="00CB5C7F"/>
    <w:rsid w:val="00CF119C"/>
    <w:rsid w:val="00CF17A0"/>
    <w:rsid w:val="00D2226A"/>
    <w:rsid w:val="00D476D8"/>
    <w:rsid w:val="00D47807"/>
    <w:rsid w:val="00D5398D"/>
    <w:rsid w:val="00D80B2A"/>
    <w:rsid w:val="00D8220A"/>
    <w:rsid w:val="00D851EB"/>
    <w:rsid w:val="00D93975"/>
    <w:rsid w:val="00DD12D1"/>
    <w:rsid w:val="00DF77B8"/>
    <w:rsid w:val="00E00AE9"/>
    <w:rsid w:val="00E45E5F"/>
    <w:rsid w:val="00E678F3"/>
    <w:rsid w:val="00E743E6"/>
    <w:rsid w:val="00E85754"/>
    <w:rsid w:val="00E96537"/>
    <w:rsid w:val="00EA76AA"/>
    <w:rsid w:val="00ED3E7E"/>
    <w:rsid w:val="00ED57DC"/>
    <w:rsid w:val="00EE5E1A"/>
    <w:rsid w:val="00EF0519"/>
    <w:rsid w:val="00EF146D"/>
    <w:rsid w:val="00EF5215"/>
    <w:rsid w:val="00F10511"/>
    <w:rsid w:val="00F1216C"/>
    <w:rsid w:val="00F3247C"/>
    <w:rsid w:val="00F45E49"/>
    <w:rsid w:val="00F47AE7"/>
    <w:rsid w:val="00F5021E"/>
    <w:rsid w:val="00F61994"/>
    <w:rsid w:val="00F81090"/>
    <w:rsid w:val="00F823E3"/>
    <w:rsid w:val="00F84B85"/>
    <w:rsid w:val="00F84D90"/>
    <w:rsid w:val="00F86FB3"/>
    <w:rsid w:val="00FA630C"/>
    <w:rsid w:val="00FA67A1"/>
    <w:rsid w:val="00FD0283"/>
    <w:rsid w:val="00FD1A1F"/>
    <w:rsid w:val="00FF0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5ACE3"/>
  <w15:docId w15:val="{AD0A8F48-CABC-4EA8-B3B5-25E62E37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40" w:lineRule="atLeast"/>
      <w:ind w:firstLine="227"/>
      <w:jc w:val="both"/>
    </w:pPr>
    <w:rPr>
      <w:rFonts w:ascii="Arial" w:hAnsi="Arial"/>
    </w:rPr>
  </w:style>
  <w:style w:type="paragraph" w:styleId="Titolo1">
    <w:name w:val="heading 1"/>
    <w:basedOn w:val="Normale"/>
    <w:next w:val="Titolo2"/>
    <w:link w:val="Titolo1Carattere"/>
    <w:qFormat/>
    <w:rsid w:val="00646138"/>
    <w:pPr>
      <w:keepNext/>
      <w:keepLines/>
      <w:tabs>
        <w:tab w:val="left" w:pos="851"/>
      </w:tabs>
      <w:spacing w:after="1680"/>
      <w:ind w:left="851" w:hanging="851"/>
      <w:jc w:val="left"/>
      <w:outlineLvl w:val="0"/>
    </w:pPr>
    <w:rPr>
      <w:b/>
      <w:color w:val="800000"/>
      <w:sz w:val="32"/>
    </w:rPr>
  </w:style>
  <w:style w:type="paragraph" w:styleId="Titolo2">
    <w:name w:val="heading 2"/>
    <w:basedOn w:val="Normale"/>
    <w:next w:val="Normale"/>
    <w:link w:val="Titolo2Carattere"/>
    <w:qFormat/>
    <w:rsid w:val="008F762B"/>
    <w:pPr>
      <w:keepNext/>
      <w:keepLines/>
      <w:tabs>
        <w:tab w:val="left" w:pos="737"/>
      </w:tabs>
      <w:spacing w:before="480" w:after="240"/>
      <w:ind w:left="737" w:hanging="737"/>
      <w:jc w:val="left"/>
      <w:outlineLvl w:val="1"/>
    </w:pPr>
    <w:rPr>
      <w:b/>
      <w:color w:val="800000"/>
    </w:rPr>
  </w:style>
  <w:style w:type="paragraph" w:styleId="Titolo3">
    <w:name w:val="heading 3"/>
    <w:basedOn w:val="Titolo2"/>
    <w:next w:val="Normale"/>
    <w:qFormat/>
    <w:rsid w:val="00F61994"/>
    <w:pPr>
      <w:tabs>
        <w:tab w:val="clear" w:pos="737"/>
        <w:tab w:val="left" w:pos="851"/>
      </w:tabs>
      <w:ind w:left="851" w:hanging="851"/>
      <w:outlineLvl w:val="2"/>
    </w:pPr>
    <w:rPr>
      <w:b w:val="0"/>
      <w:i/>
    </w:rPr>
  </w:style>
  <w:style w:type="paragraph" w:styleId="Titolo4">
    <w:name w:val="heading 4"/>
    <w:basedOn w:val="Titolo3"/>
    <w:next w:val="Normale"/>
    <w:link w:val="Titolo4Carattere"/>
    <w:qFormat/>
    <w:rsid w:val="00475E64"/>
    <w:pPr>
      <w:tabs>
        <w:tab w:val="clear" w:pos="851"/>
        <w:tab w:val="left" w:pos="1021"/>
      </w:tabs>
      <w:spacing w:before="240" w:after="0"/>
      <w:ind w:left="1021" w:hanging="1021"/>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pPr>
      <w:spacing w:before="60" w:line="200" w:lineRule="atLeast"/>
    </w:pPr>
    <w:rPr>
      <w:sz w:val="16"/>
    </w:rPr>
  </w:style>
  <w:style w:type="paragraph" w:styleId="Rientronormale">
    <w:name w:val="Normal Indent"/>
    <w:basedOn w:val="Normale"/>
    <w:pPr>
      <w:ind w:left="567" w:hanging="340"/>
    </w:pPr>
  </w:style>
  <w:style w:type="paragraph" w:customStyle="1" w:styleId="Figure">
    <w:name w:val="Figure"/>
    <w:basedOn w:val="Normale"/>
    <w:next w:val="Normale"/>
    <w:rsid w:val="00521119"/>
    <w:pPr>
      <w:keepLines/>
      <w:spacing w:line="240" w:lineRule="auto"/>
      <w:ind w:firstLine="0"/>
      <w:jc w:val="center"/>
    </w:pPr>
    <w:rPr>
      <w:sz w:val="16"/>
    </w:rPr>
  </w:style>
  <w:style w:type="paragraph" w:customStyle="1" w:styleId="FigTitolo">
    <w:name w:val="Fig Titolo"/>
    <w:basedOn w:val="TabTitolo"/>
    <w:rsid w:val="00537422"/>
    <w:pPr>
      <w:spacing w:after="0"/>
    </w:pPr>
  </w:style>
  <w:style w:type="paragraph" w:styleId="Intestazione">
    <w:name w:val="header"/>
    <w:basedOn w:val="Normale"/>
    <w:link w:val="IntestazioneCarattere"/>
    <w:rsid w:val="00B662BC"/>
    <w:pPr>
      <w:tabs>
        <w:tab w:val="center" w:pos="4819"/>
        <w:tab w:val="right" w:pos="9638"/>
      </w:tabs>
      <w:ind w:firstLine="0"/>
    </w:pPr>
  </w:style>
  <w:style w:type="paragraph" w:customStyle="1" w:styleId="TabSeparazioni">
    <w:name w:val="Tab Separazioni"/>
    <w:basedOn w:val="Normale"/>
    <w:rsid w:val="00ED3E7E"/>
    <w:pPr>
      <w:keepNext/>
      <w:keepLines/>
      <w:spacing w:before="80" w:line="240" w:lineRule="auto"/>
      <w:ind w:firstLine="0"/>
      <w:jc w:val="left"/>
    </w:pPr>
    <w:rPr>
      <w:b/>
      <w:sz w:val="16"/>
    </w:rPr>
  </w:style>
  <w:style w:type="paragraph" w:customStyle="1" w:styleId="TabNumInferiori">
    <w:name w:val="Tab Num Inferiori"/>
    <w:basedOn w:val="TabNumeri"/>
    <w:rsid w:val="00BF4352"/>
    <w:pPr>
      <w:spacing w:after="40"/>
    </w:pPr>
  </w:style>
  <w:style w:type="paragraph" w:customStyle="1" w:styleId="TabNumeri">
    <w:name w:val="Tab Numeri"/>
    <w:basedOn w:val="Normale"/>
    <w:rsid w:val="00B300CF"/>
    <w:pPr>
      <w:keepLines/>
      <w:spacing w:line="240" w:lineRule="auto"/>
      <w:ind w:firstLine="0"/>
      <w:jc w:val="right"/>
    </w:pPr>
    <w:rPr>
      <w:sz w:val="16"/>
    </w:rPr>
  </w:style>
  <w:style w:type="paragraph" w:customStyle="1" w:styleId="TabTitolo">
    <w:name w:val="Tab Titolo"/>
    <w:basedOn w:val="Normale"/>
    <w:rsid w:val="00A226D3"/>
    <w:pPr>
      <w:keepNext/>
      <w:keepLines/>
      <w:tabs>
        <w:tab w:val="left" w:pos="907"/>
      </w:tabs>
      <w:spacing w:after="80" w:line="240" w:lineRule="auto"/>
      <w:ind w:left="907" w:hanging="907"/>
      <w:jc w:val="left"/>
    </w:pPr>
    <w:rPr>
      <w:i/>
      <w:color w:val="800000"/>
      <w:sz w:val="16"/>
    </w:rPr>
  </w:style>
  <w:style w:type="paragraph" w:customStyle="1" w:styleId="TabNoteSuperiori">
    <w:name w:val="Tab Note Superiori"/>
    <w:basedOn w:val="Normale"/>
    <w:rsid w:val="00B300CF"/>
    <w:pPr>
      <w:keepLines/>
      <w:spacing w:before="60" w:line="240" w:lineRule="auto"/>
      <w:ind w:firstLine="0"/>
    </w:pPr>
    <w:rPr>
      <w:sz w:val="16"/>
    </w:rPr>
  </w:style>
  <w:style w:type="paragraph" w:customStyle="1" w:styleId="TabNoteInferiori">
    <w:name w:val="Tab Note Inferiori"/>
    <w:basedOn w:val="TabNoteSuperiori"/>
    <w:pPr>
      <w:spacing w:before="0"/>
    </w:pPr>
  </w:style>
  <w:style w:type="paragraph" w:customStyle="1" w:styleId="TabIntestazioni">
    <w:name w:val="Tab Intestazioni"/>
    <w:basedOn w:val="Normale"/>
    <w:rsid w:val="00B300CF"/>
    <w:pPr>
      <w:keepNext/>
      <w:keepLines/>
      <w:spacing w:before="80" w:after="80" w:line="240" w:lineRule="auto"/>
      <w:ind w:firstLine="0"/>
      <w:jc w:val="center"/>
    </w:pPr>
    <w:rPr>
      <w:i/>
      <w:sz w:val="16"/>
    </w:rPr>
  </w:style>
  <w:style w:type="paragraph" w:customStyle="1" w:styleId="TabIntestaSup">
    <w:name w:val="Tab Intesta Sup"/>
    <w:basedOn w:val="TabIntestazioni"/>
    <w:pPr>
      <w:spacing w:before="60" w:after="20"/>
    </w:pPr>
  </w:style>
  <w:style w:type="paragraph" w:customStyle="1" w:styleId="TabIntestaSupBordo">
    <w:name w:val="Tab Intesta Sup Bordo"/>
    <w:basedOn w:val="TabIntestaSup"/>
    <w:pPr>
      <w:pBdr>
        <w:bottom w:val="single" w:sz="4" w:space="1" w:color="auto"/>
      </w:pBdr>
      <w:ind w:left="57" w:right="57"/>
    </w:pPr>
  </w:style>
  <w:style w:type="paragraph" w:customStyle="1" w:styleId="TabIntestaInf">
    <w:name w:val="Tab Intesta Inf"/>
    <w:basedOn w:val="TabIntestazioni"/>
    <w:pPr>
      <w:spacing w:before="0" w:after="60"/>
    </w:pPr>
  </w:style>
  <w:style w:type="paragraph" w:customStyle="1" w:styleId="TabIntestazCentro">
    <w:name w:val="Tab Intestaz Centro"/>
    <w:basedOn w:val="TabIntestazioni"/>
    <w:pPr>
      <w:spacing w:before="0" w:after="20"/>
    </w:pPr>
  </w:style>
  <w:style w:type="paragraph" w:customStyle="1" w:styleId="TabIntestaCentroBordo">
    <w:name w:val="Tab Intesta Centro Bordo"/>
    <w:basedOn w:val="TabIntestazCentro"/>
    <w:pPr>
      <w:pBdr>
        <w:bottom w:val="single" w:sz="4" w:space="1" w:color="auto"/>
      </w:pBdr>
      <w:ind w:left="57" w:right="57"/>
    </w:pPr>
  </w:style>
  <w:style w:type="paragraph" w:customStyle="1" w:styleId="TabEtichette">
    <w:name w:val="Tab Etichette"/>
    <w:basedOn w:val="Normale"/>
    <w:rsid w:val="00B300CF"/>
    <w:pPr>
      <w:keepLines/>
      <w:spacing w:line="240" w:lineRule="auto"/>
      <w:ind w:firstLine="0"/>
      <w:jc w:val="left"/>
    </w:pPr>
    <w:rPr>
      <w:sz w:val="16"/>
    </w:rPr>
  </w:style>
  <w:style w:type="paragraph" w:customStyle="1" w:styleId="TabNumSuperiori">
    <w:name w:val="Tab Num Superiori"/>
    <w:basedOn w:val="TabNumeri"/>
    <w:rsid w:val="00BF4352"/>
    <w:pPr>
      <w:spacing w:before="40"/>
    </w:pPr>
  </w:style>
  <w:style w:type="paragraph" w:customStyle="1" w:styleId="Fineoggettoword">
    <w:name w:val="Fine oggetto word"/>
    <w:basedOn w:val="TabNoteInferiori"/>
    <w:rPr>
      <w:i/>
      <w:sz w:val="12"/>
    </w:rPr>
  </w:style>
  <w:style w:type="character" w:styleId="Numeropagina">
    <w:name w:val="page number"/>
    <w:rPr>
      <w:rFonts w:ascii="Arial" w:hAnsi="Arial"/>
      <w:sz w:val="20"/>
    </w:rPr>
  </w:style>
  <w:style w:type="paragraph" w:customStyle="1" w:styleId="Intestazionecorsivo">
    <w:name w:val="Intestazione corsivo"/>
    <w:basedOn w:val="Normale"/>
    <w:rsid w:val="00521119"/>
    <w:pPr>
      <w:ind w:left="357" w:right="357" w:firstLine="0"/>
      <w:jc w:val="center"/>
    </w:pPr>
    <w:rPr>
      <w:i/>
      <w:noProof/>
      <w:sz w:val="16"/>
    </w:rPr>
  </w:style>
  <w:style w:type="paragraph" w:customStyle="1" w:styleId="Pidipaginacorsivo">
    <w:name w:val="Piè di pagina corsivo"/>
    <w:basedOn w:val="Normale"/>
    <w:rsid w:val="00521119"/>
    <w:pPr>
      <w:ind w:firstLine="0"/>
      <w:jc w:val="center"/>
    </w:pPr>
    <w:rPr>
      <w:i/>
      <w:sz w:val="16"/>
    </w:rPr>
  </w:style>
  <w:style w:type="paragraph" w:customStyle="1" w:styleId="TabEtichSuperiori">
    <w:name w:val="Tab Etich Superiori"/>
    <w:basedOn w:val="TabEtichette"/>
    <w:rsid w:val="00BF4352"/>
    <w:pPr>
      <w:spacing w:before="40"/>
    </w:pPr>
  </w:style>
  <w:style w:type="paragraph" w:customStyle="1" w:styleId="TabEtichInferiori">
    <w:name w:val="Tab Etich Inferiori"/>
    <w:basedOn w:val="TabEtichette"/>
    <w:rsid w:val="00BF4352"/>
    <w:pPr>
      <w:spacing w:after="40"/>
    </w:pPr>
  </w:style>
  <w:style w:type="paragraph" w:customStyle="1" w:styleId="TitoloParte">
    <w:name w:val="Titolo Parte"/>
    <w:basedOn w:val="Titolo1"/>
    <w:rsid w:val="007C32E7"/>
    <w:rPr>
      <w:caps/>
      <w:sz w:val="36"/>
    </w:rPr>
  </w:style>
  <w:style w:type="character" w:styleId="Rimandonotaapidipagina">
    <w:name w:val="footnote reference"/>
    <w:rsid w:val="00736E99"/>
    <w:rPr>
      <w:vertAlign w:val="superscript"/>
    </w:rPr>
  </w:style>
  <w:style w:type="paragraph" w:styleId="Sommario1">
    <w:name w:val="toc 1"/>
    <w:basedOn w:val="Normale"/>
    <w:next w:val="Normale"/>
    <w:autoRedefine/>
    <w:semiHidden/>
    <w:rsid w:val="007C32E7"/>
  </w:style>
  <w:style w:type="paragraph" w:customStyle="1" w:styleId="autori">
    <w:name w:val="autori"/>
    <w:basedOn w:val="Normale"/>
    <w:rsid w:val="009135F2"/>
    <w:pPr>
      <w:ind w:left="57" w:right="57" w:firstLine="0"/>
      <w:jc w:val="left"/>
    </w:pPr>
    <w:rPr>
      <w:color w:val="800000"/>
      <w:sz w:val="18"/>
    </w:rPr>
  </w:style>
  <w:style w:type="paragraph" w:customStyle="1" w:styleId="Introduzionenormalecorsivo">
    <w:name w:val="Introduzione normale corsivo"/>
    <w:basedOn w:val="Normale"/>
    <w:qFormat/>
    <w:rsid w:val="00B37865"/>
    <w:pPr>
      <w:spacing w:line="360" w:lineRule="auto"/>
    </w:pPr>
    <w:rPr>
      <w:rFonts w:cs="Arial"/>
      <w:i/>
    </w:rPr>
  </w:style>
  <w:style w:type="paragraph" w:styleId="Pidipagina">
    <w:name w:val="footer"/>
    <w:basedOn w:val="Normale"/>
    <w:link w:val="PidipaginaCarattere"/>
    <w:rsid w:val="00A00815"/>
    <w:pPr>
      <w:tabs>
        <w:tab w:val="center" w:pos="4819"/>
        <w:tab w:val="right" w:pos="9638"/>
      </w:tabs>
      <w:ind w:firstLine="0"/>
      <w:jc w:val="center"/>
    </w:pPr>
    <w:rPr>
      <w:caps/>
    </w:rPr>
  </w:style>
  <w:style w:type="character" w:customStyle="1" w:styleId="PidipaginaCarattere">
    <w:name w:val="Piè di pagina Carattere"/>
    <w:link w:val="Pidipagina"/>
    <w:rsid w:val="00A00815"/>
    <w:rPr>
      <w:rFonts w:ascii="Arial" w:hAnsi="Arial"/>
      <w:caps/>
    </w:rPr>
  </w:style>
  <w:style w:type="paragraph" w:styleId="Testofumetto">
    <w:name w:val="Balloon Text"/>
    <w:basedOn w:val="Normale"/>
    <w:link w:val="TestofumettoCarattere"/>
    <w:rsid w:val="00CF17A0"/>
    <w:pPr>
      <w:spacing w:line="240" w:lineRule="auto"/>
    </w:pPr>
    <w:rPr>
      <w:rFonts w:ascii="Tahoma" w:hAnsi="Tahoma" w:cs="Tahoma"/>
      <w:sz w:val="16"/>
      <w:szCs w:val="16"/>
    </w:rPr>
  </w:style>
  <w:style w:type="character" w:customStyle="1" w:styleId="TestofumettoCarattere">
    <w:name w:val="Testo fumetto Carattere"/>
    <w:link w:val="Testofumetto"/>
    <w:rsid w:val="00CF17A0"/>
    <w:rPr>
      <w:rFonts w:ascii="Tahoma" w:hAnsi="Tahoma" w:cs="Tahoma"/>
      <w:sz w:val="16"/>
      <w:szCs w:val="16"/>
    </w:rPr>
  </w:style>
  <w:style w:type="character" w:customStyle="1" w:styleId="IntestazioneCarattere">
    <w:name w:val="Intestazione Carattere"/>
    <w:link w:val="Intestazione"/>
    <w:rsid w:val="00B662BC"/>
    <w:rPr>
      <w:rFonts w:ascii="Arial" w:hAnsi="Arial"/>
    </w:rPr>
  </w:style>
  <w:style w:type="paragraph" w:customStyle="1" w:styleId="Stileapprofnormale10ptGrassettoRossoscuroSinistro0">
    <w:name w:val="Stile approf_normale + 10 pt Grassetto Rosso scuro Sinistro:  0 ..."/>
    <w:basedOn w:val="Normale"/>
    <w:rsid w:val="002A2AE9"/>
    <w:pPr>
      <w:ind w:left="170" w:right="170" w:firstLine="0"/>
    </w:pPr>
    <w:rPr>
      <w:b/>
      <w:bCs/>
      <w:color w:val="800000"/>
    </w:rPr>
  </w:style>
  <w:style w:type="paragraph" w:styleId="Rientrocorpodeltesto">
    <w:name w:val="Body Text Indent"/>
    <w:basedOn w:val="Normale"/>
    <w:link w:val="RientrocorpodeltestoCarattere"/>
    <w:rsid w:val="00A33FD6"/>
    <w:rPr>
      <w:color w:val="FF00FF"/>
    </w:rPr>
  </w:style>
  <w:style w:type="character" w:customStyle="1" w:styleId="RientrocorpodeltestoCarattere">
    <w:name w:val="Rientro corpo del testo Carattere"/>
    <w:basedOn w:val="Carpredefinitoparagrafo"/>
    <w:link w:val="Rientrocorpodeltesto"/>
    <w:rsid w:val="00A33FD6"/>
    <w:rPr>
      <w:rFonts w:ascii="Arial" w:hAnsi="Arial"/>
      <w:color w:val="FF00FF"/>
    </w:rPr>
  </w:style>
  <w:style w:type="paragraph" w:styleId="Rientrocorpodeltesto3">
    <w:name w:val="Body Text Indent 3"/>
    <w:basedOn w:val="Normale"/>
    <w:link w:val="Rientrocorpodeltesto3Carattere"/>
    <w:rsid w:val="00A33FD6"/>
    <w:rPr>
      <w:color w:val="000000"/>
    </w:rPr>
  </w:style>
  <w:style w:type="character" w:customStyle="1" w:styleId="Rientrocorpodeltesto3Carattere">
    <w:name w:val="Rientro corpo del testo 3 Carattere"/>
    <w:basedOn w:val="Carpredefinitoparagrafo"/>
    <w:link w:val="Rientrocorpodeltesto3"/>
    <w:rsid w:val="00A33FD6"/>
    <w:rPr>
      <w:rFonts w:ascii="Arial" w:hAnsi="Arial"/>
      <w:color w:val="000000"/>
    </w:rPr>
  </w:style>
  <w:style w:type="character" w:customStyle="1" w:styleId="Titolo1Carattere">
    <w:name w:val="Titolo 1 Carattere"/>
    <w:basedOn w:val="Carpredefinitoparagrafo"/>
    <w:link w:val="Titolo1"/>
    <w:rsid w:val="00A33FD6"/>
    <w:rPr>
      <w:rFonts w:ascii="Arial" w:hAnsi="Arial"/>
      <w:b/>
      <w:color w:val="800000"/>
      <w:sz w:val="32"/>
    </w:rPr>
  </w:style>
  <w:style w:type="paragraph" w:styleId="Rientrocorpodeltesto2">
    <w:name w:val="Body Text Indent 2"/>
    <w:basedOn w:val="Normale"/>
    <w:link w:val="Rientrocorpodeltesto2Carattere"/>
    <w:rsid w:val="00562C51"/>
    <w:pPr>
      <w:spacing w:after="120" w:line="480" w:lineRule="auto"/>
      <w:ind w:left="283"/>
    </w:pPr>
  </w:style>
  <w:style w:type="character" w:customStyle="1" w:styleId="Rientrocorpodeltesto2Carattere">
    <w:name w:val="Rientro corpo del testo 2 Carattere"/>
    <w:basedOn w:val="Carpredefinitoparagrafo"/>
    <w:link w:val="Rientrocorpodeltesto2"/>
    <w:rsid w:val="00562C51"/>
    <w:rPr>
      <w:rFonts w:ascii="Arial" w:hAnsi="Arial"/>
    </w:rPr>
  </w:style>
  <w:style w:type="character" w:customStyle="1" w:styleId="Titolo2Carattere">
    <w:name w:val="Titolo 2 Carattere"/>
    <w:basedOn w:val="Carpredefinitoparagrafo"/>
    <w:link w:val="Titolo2"/>
    <w:rsid w:val="00E45E5F"/>
    <w:rPr>
      <w:rFonts w:ascii="Arial" w:hAnsi="Arial"/>
      <w:b/>
      <w:color w:val="800000"/>
    </w:rPr>
  </w:style>
  <w:style w:type="character" w:customStyle="1" w:styleId="TestonotaapidipaginaCarattere">
    <w:name w:val="Testo nota a piè di pagina Carattere"/>
    <w:link w:val="Testonotaapidipagina"/>
    <w:rsid w:val="0016238A"/>
    <w:rPr>
      <w:rFonts w:ascii="Arial" w:hAnsi="Arial"/>
      <w:sz w:val="16"/>
    </w:rPr>
  </w:style>
  <w:style w:type="character" w:customStyle="1" w:styleId="mw-headline">
    <w:name w:val="mw-headline"/>
    <w:rsid w:val="0016238A"/>
  </w:style>
  <w:style w:type="table" w:styleId="Grigliatabella">
    <w:name w:val="Table Grid"/>
    <w:basedOn w:val="Tabellanormale"/>
    <w:uiPriority w:val="59"/>
    <w:rsid w:val="0080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7F767A"/>
    <w:rPr>
      <w:rFonts w:ascii="Arial" w:hAnsi="Arial"/>
      <w:i/>
      <w:color w:val="800000"/>
    </w:rPr>
  </w:style>
  <w:style w:type="character" w:customStyle="1" w:styleId="nascostoCarattere">
    <w:name w:val="nascosto Carattere"/>
    <w:basedOn w:val="Carpredefinitoparagrafo"/>
    <w:rsid w:val="000D74A5"/>
    <w:rPr>
      <w:rFonts w:ascii="Arial" w:hAnsi="Arial"/>
      <w:vanish/>
      <w:color w:val="FF00FF"/>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50127">
      <w:bodyDiv w:val="1"/>
      <w:marLeft w:val="0"/>
      <w:marRight w:val="0"/>
      <w:marTop w:val="0"/>
      <w:marBottom w:val="0"/>
      <w:divBdr>
        <w:top w:val="none" w:sz="0" w:space="0" w:color="auto"/>
        <w:left w:val="none" w:sz="0" w:space="0" w:color="auto"/>
        <w:bottom w:val="none" w:sz="0" w:space="0" w:color="auto"/>
        <w:right w:val="none" w:sz="0" w:space="0" w:color="auto"/>
      </w:divBdr>
    </w:div>
    <w:div w:id="735322003">
      <w:bodyDiv w:val="1"/>
      <w:marLeft w:val="0"/>
      <w:marRight w:val="0"/>
      <w:marTop w:val="0"/>
      <w:marBottom w:val="0"/>
      <w:divBdr>
        <w:top w:val="none" w:sz="0" w:space="0" w:color="auto"/>
        <w:left w:val="none" w:sz="0" w:space="0" w:color="auto"/>
        <w:bottom w:val="none" w:sz="0" w:space="0" w:color="auto"/>
        <w:right w:val="none" w:sz="0" w:space="0" w:color="auto"/>
      </w:divBdr>
    </w:div>
    <w:div w:id="1178697586">
      <w:bodyDiv w:val="1"/>
      <w:marLeft w:val="0"/>
      <w:marRight w:val="0"/>
      <w:marTop w:val="0"/>
      <w:marBottom w:val="0"/>
      <w:divBdr>
        <w:top w:val="none" w:sz="0" w:space="0" w:color="auto"/>
        <w:left w:val="none" w:sz="0" w:space="0" w:color="auto"/>
        <w:bottom w:val="none" w:sz="0" w:space="0" w:color="auto"/>
        <w:right w:val="none" w:sz="0" w:space="0" w:color="auto"/>
      </w:divBdr>
    </w:div>
    <w:div w:id="17468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z_sistema\m_modelli\rap_eco_re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EA44-8672-44FE-B869-905E972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rap_eco_reg.dot</Template>
  <TotalTime>3</TotalTime>
  <Pages>7</Pages>
  <Words>4721</Words>
  <Characters>26915</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Unioncamere Emilia Romagna</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Guaitoli</dc:creator>
  <cp:lastModifiedBy>Pazzi Ivanna</cp:lastModifiedBy>
  <cp:revision>3</cp:revision>
  <cp:lastPrinted>2019-12-13T08:25:00Z</cp:lastPrinted>
  <dcterms:created xsi:type="dcterms:W3CDTF">2019-12-17T11:40:00Z</dcterms:created>
  <dcterms:modified xsi:type="dcterms:W3CDTF">2019-12-20T15:43:00Z</dcterms:modified>
</cp:coreProperties>
</file>